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32E76A" w14:textId="77777777" w:rsidR="0088680A" w:rsidRPr="0088680A" w:rsidRDefault="0088680A">
      <w:pPr>
        <w:rPr>
          <w:sz w:val="20"/>
          <w:szCs w:val="20"/>
        </w:rPr>
      </w:pPr>
    </w:p>
    <w:tbl>
      <w:tblPr>
        <w:tblStyle w:val="Tabela-Siatka"/>
        <w:tblpPr w:leftFromText="141" w:rightFromText="141" w:vertAnchor="text" w:tblpX="-431" w:tblpY="1"/>
        <w:tblOverlap w:val="never"/>
        <w:tblW w:w="14309" w:type="dxa"/>
        <w:tblLook w:val="04A0" w:firstRow="1" w:lastRow="0" w:firstColumn="1" w:lastColumn="0" w:noHBand="0" w:noVBand="1"/>
      </w:tblPr>
      <w:tblGrid>
        <w:gridCol w:w="834"/>
        <w:gridCol w:w="1566"/>
        <w:gridCol w:w="2557"/>
        <w:gridCol w:w="4677"/>
        <w:gridCol w:w="4675"/>
      </w:tblGrid>
      <w:tr w:rsidR="0004003F" w:rsidRPr="0088680A" w14:paraId="606905A3" w14:textId="77777777" w:rsidTr="001D2343">
        <w:trPr>
          <w:trHeight w:val="550"/>
          <w:tblHeader/>
        </w:trPr>
        <w:tc>
          <w:tcPr>
            <w:tcW w:w="14309" w:type="dxa"/>
            <w:gridSpan w:val="5"/>
            <w:shd w:val="clear" w:color="auto" w:fill="D5DCE4" w:themeFill="text2" w:themeFillTint="33"/>
          </w:tcPr>
          <w:p w14:paraId="0CC2B384" w14:textId="19CF7503" w:rsidR="0088680A" w:rsidRPr="0088680A" w:rsidRDefault="0088680A" w:rsidP="00482379">
            <w:pPr>
              <w:jc w:val="center"/>
              <w:rPr>
                <w:rFonts w:cs="Times New Roman"/>
                <w:b/>
                <w:bCs/>
                <w:sz w:val="20"/>
                <w:szCs w:val="20"/>
              </w:rPr>
            </w:pPr>
          </w:p>
          <w:p w14:paraId="1DCDD4F3" w14:textId="77777777" w:rsidR="0004003F" w:rsidRPr="0088680A" w:rsidRDefault="0088680A" w:rsidP="00482379">
            <w:pPr>
              <w:jc w:val="center"/>
              <w:rPr>
                <w:rFonts w:cs="Times New Roman"/>
                <w:b/>
                <w:bCs/>
                <w:sz w:val="20"/>
                <w:szCs w:val="20"/>
              </w:rPr>
            </w:pPr>
            <w:r w:rsidRPr="0088680A">
              <w:rPr>
                <w:rFonts w:cs="Times New Roman"/>
                <w:b/>
                <w:bCs/>
                <w:sz w:val="20"/>
                <w:szCs w:val="20"/>
              </w:rPr>
              <w:t>T</w:t>
            </w:r>
            <w:r w:rsidR="0004003F" w:rsidRPr="0088680A">
              <w:rPr>
                <w:rFonts w:cs="Times New Roman"/>
                <w:b/>
                <w:bCs/>
                <w:sz w:val="20"/>
                <w:szCs w:val="20"/>
              </w:rPr>
              <w:t xml:space="preserve">abela uwag zgłoszonych do projektu </w:t>
            </w:r>
            <w:r w:rsidR="00303C4F" w:rsidRPr="0088680A">
              <w:rPr>
                <w:rFonts w:cs="Times New Roman"/>
                <w:b/>
                <w:bCs/>
                <w:sz w:val="20"/>
                <w:szCs w:val="20"/>
              </w:rPr>
              <w:t>r</w:t>
            </w:r>
            <w:r w:rsidR="0004003F" w:rsidRPr="0088680A">
              <w:rPr>
                <w:rFonts w:cs="Times New Roman"/>
                <w:b/>
                <w:bCs/>
                <w:sz w:val="20"/>
                <w:szCs w:val="20"/>
              </w:rPr>
              <w:t xml:space="preserve">ozporządzenia Ministra Sprawiedliwości </w:t>
            </w:r>
            <w:r w:rsidR="00482379" w:rsidRPr="0088680A">
              <w:rPr>
                <w:rFonts w:cs="Times New Roman"/>
                <w:b/>
                <w:bCs/>
                <w:sz w:val="20"/>
                <w:szCs w:val="20"/>
              </w:rPr>
              <w:t>w sprawie szczegółowego trybu i sposobu doręczania pism sądowych za pośrednictwem portalu informacyjnego (A516)</w:t>
            </w:r>
            <w:r w:rsidR="00303C4F" w:rsidRPr="0088680A">
              <w:rPr>
                <w:rFonts w:cs="Times New Roman"/>
                <w:b/>
                <w:bCs/>
                <w:sz w:val="20"/>
                <w:szCs w:val="20"/>
              </w:rPr>
              <w:t xml:space="preserve"> </w:t>
            </w:r>
            <w:r w:rsidR="0055737F" w:rsidRPr="0088680A">
              <w:rPr>
                <w:rFonts w:cs="Times New Roman"/>
                <w:b/>
                <w:bCs/>
                <w:sz w:val="20"/>
                <w:szCs w:val="20"/>
              </w:rPr>
              <w:t xml:space="preserve">zgłoszonych w ramach </w:t>
            </w:r>
            <w:r w:rsidR="0055737F" w:rsidRPr="00C31B9A">
              <w:rPr>
                <w:rFonts w:cs="Times New Roman"/>
                <w:b/>
                <w:bCs/>
                <w:sz w:val="20"/>
                <w:szCs w:val="20"/>
                <w:u w:val="single"/>
              </w:rPr>
              <w:t>konsultacji publicznych</w:t>
            </w:r>
            <w:r w:rsidR="0055737F" w:rsidRPr="0088680A">
              <w:rPr>
                <w:rFonts w:cs="Times New Roman"/>
                <w:b/>
                <w:bCs/>
                <w:sz w:val="20"/>
                <w:szCs w:val="20"/>
              </w:rPr>
              <w:t xml:space="preserve"> </w:t>
            </w:r>
            <w:r w:rsidR="0004003F" w:rsidRPr="0088680A">
              <w:rPr>
                <w:rFonts w:cs="Times New Roman"/>
                <w:b/>
                <w:bCs/>
                <w:sz w:val="20"/>
                <w:szCs w:val="20"/>
              </w:rPr>
              <w:t>wraz ze stanowiskiem resortu.</w:t>
            </w:r>
          </w:p>
          <w:p w14:paraId="35678BC0" w14:textId="246D8D38" w:rsidR="0088680A" w:rsidRPr="0088680A" w:rsidRDefault="0088680A" w:rsidP="00482379">
            <w:pPr>
              <w:jc w:val="center"/>
              <w:rPr>
                <w:rFonts w:cs="Times New Roman"/>
                <w:b/>
                <w:bCs/>
                <w:sz w:val="20"/>
                <w:szCs w:val="20"/>
              </w:rPr>
            </w:pPr>
          </w:p>
        </w:tc>
      </w:tr>
      <w:tr w:rsidR="007F33FA" w:rsidRPr="0088680A" w14:paraId="0D68A99B" w14:textId="77777777" w:rsidTr="007F33FA">
        <w:trPr>
          <w:trHeight w:val="704"/>
          <w:tblHeader/>
        </w:trPr>
        <w:tc>
          <w:tcPr>
            <w:tcW w:w="834" w:type="dxa"/>
            <w:shd w:val="clear" w:color="auto" w:fill="D5DCE4" w:themeFill="text2" w:themeFillTint="33"/>
          </w:tcPr>
          <w:p w14:paraId="71A1D649" w14:textId="77777777" w:rsidR="0088680A" w:rsidRDefault="0088680A" w:rsidP="0088680A">
            <w:pPr>
              <w:jc w:val="center"/>
              <w:rPr>
                <w:rFonts w:cs="Times New Roman"/>
                <w:b/>
                <w:bCs/>
                <w:sz w:val="20"/>
                <w:szCs w:val="20"/>
              </w:rPr>
            </w:pPr>
          </w:p>
          <w:p w14:paraId="380A2398" w14:textId="329AA467" w:rsidR="007F33FA" w:rsidRPr="0088680A" w:rsidRDefault="007F33FA" w:rsidP="0088680A">
            <w:pPr>
              <w:jc w:val="center"/>
              <w:rPr>
                <w:rFonts w:cs="Times New Roman"/>
                <w:b/>
                <w:bCs/>
                <w:sz w:val="20"/>
                <w:szCs w:val="20"/>
              </w:rPr>
            </w:pPr>
            <w:r w:rsidRPr="0088680A">
              <w:rPr>
                <w:rFonts w:cs="Times New Roman"/>
                <w:b/>
                <w:bCs/>
                <w:sz w:val="20"/>
                <w:szCs w:val="20"/>
              </w:rPr>
              <w:t>L.p.</w:t>
            </w:r>
          </w:p>
        </w:tc>
        <w:tc>
          <w:tcPr>
            <w:tcW w:w="1566" w:type="dxa"/>
            <w:shd w:val="clear" w:color="auto" w:fill="D5DCE4" w:themeFill="text2" w:themeFillTint="33"/>
          </w:tcPr>
          <w:p w14:paraId="50D01F5E" w14:textId="77777777" w:rsidR="007F33FA" w:rsidRDefault="007F33FA" w:rsidP="0088680A">
            <w:pPr>
              <w:jc w:val="center"/>
              <w:rPr>
                <w:rFonts w:cs="Times New Roman"/>
                <w:b/>
                <w:bCs/>
                <w:sz w:val="20"/>
                <w:szCs w:val="20"/>
              </w:rPr>
            </w:pPr>
            <w:r w:rsidRPr="0088680A">
              <w:rPr>
                <w:rFonts w:cs="Times New Roman"/>
                <w:b/>
                <w:bCs/>
                <w:sz w:val="20"/>
                <w:szCs w:val="20"/>
              </w:rPr>
              <w:t>Jednostka redakcyjna, do której zgłaszana jest uwaga</w:t>
            </w:r>
          </w:p>
          <w:p w14:paraId="78044ED7" w14:textId="77777777" w:rsidR="0088680A" w:rsidRPr="0088680A" w:rsidRDefault="0088680A" w:rsidP="0088680A">
            <w:pPr>
              <w:jc w:val="center"/>
              <w:rPr>
                <w:rFonts w:cs="Times New Roman"/>
                <w:b/>
                <w:bCs/>
                <w:sz w:val="20"/>
                <w:szCs w:val="20"/>
              </w:rPr>
            </w:pPr>
          </w:p>
        </w:tc>
        <w:tc>
          <w:tcPr>
            <w:tcW w:w="2557" w:type="dxa"/>
            <w:shd w:val="clear" w:color="auto" w:fill="D5DCE4" w:themeFill="text2" w:themeFillTint="33"/>
          </w:tcPr>
          <w:p w14:paraId="3002D719" w14:textId="77777777" w:rsidR="0088680A" w:rsidRDefault="0088680A" w:rsidP="0088680A">
            <w:pPr>
              <w:jc w:val="center"/>
              <w:rPr>
                <w:rFonts w:cs="Times New Roman"/>
                <w:b/>
                <w:bCs/>
                <w:sz w:val="20"/>
                <w:szCs w:val="20"/>
              </w:rPr>
            </w:pPr>
          </w:p>
          <w:p w14:paraId="489CE32D" w14:textId="5B503B61" w:rsidR="007F33FA" w:rsidRPr="0088680A" w:rsidRDefault="007F33FA" w:rsidP="0088680A">
            <w:pPr>
              <w:jc w:val="center"/>
              <w:rPr>
                <w:rFonts w:cs="Times New Roman"/>
                <w:b/>
                <w:bCs/>
                <w:sz w:val="20"/>
                <w:szCs w:val="20"/>
              </w:rPr>
            </w:pPr>
            <w:r w:rsidRPr="0088680A">
              <w:rPr>
                <w:rFonts w:cs="Times New Roman"/>
                <w:b/>
                <w:bCs/>
                <w:sz w:val="20"/>
                <w:szCs w:val="20"/>
              </w:rPr>
              <w:t>Podmiot zgłaszający uwagę</w:t>
            </w:r>
          </w:p>
        </w:tc>
        <w:tc>
          <w:tcPr>
            <w:tcW w:w="4677" w:type="dxa"/>
            <w:shd w:val="clear" w:color="auto" w:fill="D5DCE4" w:themeFill="text2" w:themeFillTint="33"/>
          </w:tcPr>
          <w:p w14:paraId="1A7DF941" w14:textId="77777777" w:rsidR="0088680A" w:rsidRDefault="0088680A" w:rsidP="0088680A">
            <w:pPr>
              <w:jc w:val="center"/>
              <w:rPr>
                <w:rFonts w:cs="Times New Roman"/>
                <w:b/>
                <w:bCs/>
                <w:sz w:val="20"/>
                <w:szCs w:val="20"/>
              </w:rPr>
            </w:pPr>
          </w:p>
          <w:p w14:paraId="45C402D3" w14:textId="7802B245" w:rsidR="007F33FA" w:rsidRPr="0088680A" w:rsidRDefault="007F33FA" w:rsidP="0088680A">
            <w:pPr>
              <w:jc w:val="center"/>
              <w:rPr>
                <w:rFonts w:cs="Times New Roman"/>
                <w:b/>
                <w:bCs/>
                <w:sz w:val="20"/>
                <w:szCs w:val="20"/>
              </w:rPr>
            </w:pPr>
            <w:r w:rsidRPr="0088680A">
              <w:rPr>
                <w:rFonts w:cs="Times New Roman"/>
                <w:b/>
                <w:bCs/>
                <w:sz w:val="20"/>
                <w:szCs w:val="20"/>
              </w:rPr>
              <w:t>Treść uwagi</w:t>
            </w:r>
          </w:p>
        </w:tc>
        <w:tc>
          <w:tcPr>
            <w:tcW w:w="4675" w:type="dxa"/>
            <w:shd w:val="clear" w:color="auto" w:fill="D5DCE4" w:themeFill="text2" w:themeFillTint="33"/>
          </w:tcPr>
          <w:p w14:paraId="5DC03ABF" w14:textId="77777777" w:rsidR="0088680A" w:rsidRDefault="0088680A" w:rsidP="0088680A">
            <w:pPr>
              <w:jc w:val="center"/>
              <w:rPr>
                <w:rFonts w:cs="Times New Roman"/>
                <w:b/>
                <w:bCs/>
                <w:sz w:val="20"/>
                <w:szCs w:val="20"/>
              </w:rPr>
            </w:pPr>
          </w:p>
          <w:p w14:paraId="0BAD2B74" w14:textId="6DCFF393" w:rsidR="007F33FA" w:rsidRPr="0088680A" w:rsidRDefault="007F33FA" w:rsidP="0088680A">
            <w:pPr>
              <w:jc w:val="center"/>
              <w:rPr>
                <w:rFonts w:cs="Times New Roman"/>
                <w:b/>
                <w:bCs/>
                <w:sz w:val="20"/>
                <w:szCs w:val="20"/>
              </w:rPr>
            </w:pPr>
            <w:r w:rsidRPr="0088680A">
              <w:rPr>
                <w:rFonts w:cs="Times New Roman"/>
                <w:b/>
                <w:bCs/>
                <w:sz w:val="20"/>
                <w:szCs w:val="20"/>
              </w:rPr>
              <w:t>Stanowisko resortu</w:t>
            </w:r>
          </w:p>
        </w:tc>
      </w:tr>
      <w:tr w:rsidR="007F33FA" w:rsidRPr="0088680A" w14:paraId="548080B4" w14:textId="77777777" w:rsidTr="007F33FA">
        <w:trPr>
          <w:trHeight w:val="1098"/>
        </w:trPr>
        <w:tc>
          <w:tcPr>
            <w:tcW w:w="834" w:type="dxa"/>
          </w:tcPr>
          <w:p w14:paraId="4CF13D9F" w14:textId="60D664D6" w:rsidR="007F33FA" w:rsidRPr="0088680A" w:rsidRDefault="007F33FA" w:rsidP="00826F51">
            <w:pPr>
              <w:tabs>
                <w:tab w:val="left" w:pos="360"/>
              </w:tabs>
              <w:jc w:val="center"/>
              <w:rPr>
                <w:rFonts w:cs="Times New Roman"/>
                <w:sz w:val="20"/>
                <w:szCs w:val="20"/>
              </w:rPr>
            </w:pPr>
            <w:r w:rsidRPr="0088680A">
              <w:rPr>
                <w:rFonts w:cs="Times New Roman"/>
                <w:sz w:val="20"/>
                <w:szCs w:val="20"/>
              </w:rPr>
              <w:t>1</w:t>
            </w:r>
          </w:p>
        </w:tc>
        <w:tc>
          <w:tcPr>
            <w:tcW w:w="1566" w:type="dxa"/>
          </w:tcPr>
          <w:p w14:paraId="5DD5D267" w14:textId="2D8CF985" w:rsidR="007F33FA" w:rsidRPr="0088680A" w:rsidRDefault="007F33FA" w:rsidP="00520EBD">
            <w:pPr>
              <w:jc w:val="center"/>
              <w:rPr>
                <w:rFonts w:cs="Times New Roman"/>
                <w:b/>
                <w:bCs/>
                <w:sz w:val="20"/>
                <w:szCs w:val="20"/>
              </w:rPr>
            </w:pPr>
            <w:r w:rsidRPr="0088680A">
              <w:rPr>
                <w:rFonts w:cs="Times New Roman"/>
                <w:b/>
                <w:bCs/>
                <w:sz w:val="20"/>
                <w:szCs w:val="20"/>
              </w:rPr>
              <w:t>§ 2 pkt 3 projektu</w:t>
            </w:r>
          </w:p>
        </w:tc>
        <w:tc>
          <w:tcPr>
            <w:tcW w:w="2557" w:type="dxa"/>
          </w:tcPr>
          <w:p w14:paraId="669133AC" w14:textId="05143355" w:rsidR="007F33FA" w:rsidRPr="0088680A" w:rsidRDefault="007F33FA" w:rsidP="00520EBD">
            <w:pPr>
              <w:jc w:val="center"/>
              <w:rPr>
                <w:rFonts w:cs="Times New Roman"/>
                <w:b/>
                <w:bCs/>
                <w:sz w:val="20"/>
                <w:szCs w:val="20"/>
              </w:rPr>
            </w:pPr>
            <w:r w:rsidRPr="0088680A">
              <w:rPr>
                <w:rFonts w:cs="Times New Roman"/>
                <w:b/>
                <w:bCs/>
                <w:sz w:val="20"/>
                <w:szCs w:val="20"/>
              </w:rPr>
              <w:t>Konfederacja Lewiatan</w:t>
            </w:r>
          </w:p>
          <w:p w14:paraId="61A893E9" w14:textId="674F5541" w:rsidR="007F33FA" w:rsidRPr="0088680A" w:rsidRDefault="007F33FA" w:rsidP="00826F51">
            <w:pPr>
              <w:jc w:val="both"/>
              <w:rPr>
                <w:rFonts w:cs="Times New Roman"/>
                <w:b/>
                <w:bCs/>
                <w:sz w:val="20"/>
                <w:szCs w:val="20"/>
              </w:rPr>
            </w:pPr>
          </w:p>
        </w:tc>
        <w:tc>
          <w:tcPr>
            <w:tcW w:w="4677" w:type="dxa"/>
          </w:tcPr>
          <w:p w14:paraId="14B8A5C2" w14:textId="4D53B73E" w:rsidR="007F33FA" w:rsidRPr="0088680A" w:rsidRDefault="007F33FA" w:rsidP="00844D68">
            <w:pPr>
              <w:autoSpaceDE w:val="0"/>
              <w:autoSpaceDN w:val="0"/>
              <w:adjustRightInd w:val="0"/>
              <w:jc w:val="both"/>
              <w:rPr>
                <w:rFonts w:cs="Times New Roman"/>
                <w:sz w:val="20"/>
                <w:szCs w:val="20"/>
              </w:rPr>
            </w:pPr>
            <w:r w:rsidRPr="0088680A">
              <w:rPr>
                <w:rFonts w:cs="Times New Roman"/>
                <w:sz w:val="20"/>
                <w:szCs w:val="20"/>
              </w:rPr>
              <w:t xml:space="preserve">Istnieje </w:t>
            </w:r>
            <w:r w:rsidR="00FD2A59" w:rsidRPr="0088680A">
              <w:rPr>
                <w:rFonts w:cs="Times New Roman"/>
                <w:sz w:val="20"/>
                <w:szCs w:val="20"/>
              </w:rPr>
              <w:t>wątpliwość,</w:t>
            </w:r>
            <w:r w:rsidRPr="0088680A">
              <w:rPr>
                <w:rFonts w:cs="Times New Roman"/>
                <w:sz w:val="20"/>
                <w:szCs w:val="20"/>
              </w:rPr>
              <w:t xml:space="preserve"> do której części proj. odnosi się ten punkt. </w:t>
            </w:r>
            <w:r w:rsidRPr="0088680A">
              <w:rPr>
                <w:rFonts w:cs="Times New Roman"/>
                <w:sz w:val="20"/>
                <w:szCs w:val="20"/>
                <w:u w:val="single"/>
              </w:rPr>
              <w:t>W treści proj. słowo „uwierzytelnianie” nie występuje</w:t>
            </w:r>
            <w:r w:rsidRPr="0088680A">
              <w:rPr>
                <w:rFonts w:cs="Times New Roman"/>
                <w:sz w:val="20"/>
                <w:szCs w:val="20"/>
              </w:rPr>
              <w:t xml:space="preserve">, nie opisano też żadnej </w:t>
            </w:r>
            <w:r w:rsidR="00FD2A59" w:rsidRPr="0088680A">
              <w:rPr>
                <w:rFonts w:cs="Times New Roman"/>
                <w:sz w:val="20"/>
                <w:szCs w:val="20"/>
              </w:rPr>
              <w:t>procedury,</w:t>
            </w:r>
            <w:r w:rsidRPr="0088680A">
              <w:rPr>
                <w:rFonts w:cs="Times New Roman"/>
                <w:sz w:val="20"/>
                <w:szCs w:val="20"/>
              </w:rPr>
              <w:t xml:space="preserve"> która na etapie doręczania wymagałaby identyfikacji elektronicznej użytkownika konta. </w:t>
            </w:r>
          </w:p>
          <w:p w14:paraId="5E184F80" w14:textId="383D537F" w:rsidR="007F33FA" w:rsidRPr="0088680A" w:rsidRDefault="00B15A83" w:rsidP="00560BD1">
            <w:pPr>
              <w:autoSpaceDE w:val="0"/>
              <w:autoSpaceDN w:val="0"/>
              <w:adjustRightInd w:val="0"/>
              <w:jc w:val="both"/>
              <w:rPr>
                <w:rFonts w:cs="Times New Roman"/>
                <w:sz w:val="20"/>
                <w:szCs w:val="20"/>
              </w:rPr>
            </w:pPr>
            <w:r w:rsidRPr="0088680A">
              <w:rPr>
                <w:rFonts w:cs="Times New Roman"/>
                <w:sz w:val="20"/>
                <w:szCs w:val="20"/>
                <w:u w:val="single"/>
              </w:rPr>
              <w:t xml:space="preserve">Doprecyzowania również wymaga, </w:t>
            </w:r>
            <w:r w:rsidR="007F33FA" w:rsidRPr="0088680A">
              <w:rPr>
                <w:rFonts w:cs="Times New Roman"/>
                <w:sz w:val="20"/>
                <w:szCs w:val="20"/>
                <w:u w:val="single"/>
              </w:rPr>
              <w:t>co należy rozumieć przez „uwierzytelnianie”</w:t>
            </w:r>
            <w:r w:rsidR="007F33FA" w:rsidRPr="0088680A">
              <w:rPr>
                <w:rFonts w:cs="Times New Roman"/>
                <w:sz w:val="20"/>
                <w:szCs w:val="20"/>
              </w:rPr>
              <w:t xml:space="preserve"> – czy należy rozumieć przez to logowanie się do PI, czy przewidywane jest wprowadzenie dodatkowego mechanizmu „uwierzytelniania” przy odbiorze pism który obecnie nie jest stosowany</w:t>
            </w:r>
            <w:r w:rsidR="00031DC3">
              <w:rPr>
                <w:rFonts w:cs="Times New Roman"/>
                <w:sz w:val="20"/>
                <w:szCs w:val="20"/>
              </w:rPr>
              <w:t>.</w:t>
            </w:r>
          </w:p>
          <w:p w14:paraId="1B3F3155" w14:textId="5D35CE05" w:rsidR="007F33FA" w:rsidRPr="0088680A" w:rsidRDefault="007F33FA" w:rsidP="00560BD1">
            <w:pPr>
              <w:autoSpaceDE w:val="0"/>
              <w:autoSpaceDN w:val="0"/>
              <w:adjustRightInd w:val="0"/>
              <w:jc w:val="both"/>
              <w:rPr>
                <w:rFonts w:cs="Times New Roman"/>
                <w:sz w:val="20"/>
                <w:szCs w:val="20"/>
              </w:rPr>
            </w:pPr>
          </w:p>
        </w:tc>
        <w:tc>
          <w:tcPr>
            <w:tcW w:w="4675" w:type="dxa"/>
          </w:tcPr>
          <w:p w14:paraId="62543BA1" w14:textId="0BBD0224" w:rsidR="007F33FA" w:rsidRPr="00201A4D" w:rsidRDefault="00201A4D" w:rsidP="00B62148">
            <w:pPr>
              <w:jc w:val="both"/>
              <w:rPr>
                <w:rFonts w:cs="Times New Roman"/>
                <w:b/>
                <w:bCs/>
                <w:strike/>
                <w:sz w:val="20"/>
                <w:szCs w:val="20"/>
              </w:rPr>
            </w:pPr>
            <w:r w:rsidRPr="00201A4D">
              <w:rPr>
                <w:rStyle w:val="cf01"/>
                <w:rFonts w:ascii="Times New Roman" w:hAnsi="Times New Roman" w:cs="Times New Roman"/>
                <w:b/>
                <w:bCs/>
                <w:sz w:val="20"/>
                <w:szCs w:val="20"/>
              </w:rPr>
              <w:t>Zrezygnowano z treści zaproponowanej w § 2 pkt 3.</w:t>
            </w:r>
          </w:p>
        </w:tc>
      </w:tr>
      <w:tr w:rsidR="007F33FA" w:rsidRPr="0088680A" w14:paraId="0A89FD5D" w14:textId="77777777" w:rsidTr="007F33FA">
        <w:trPr>
          <w:trHeight w:val="1098"/>
        </w:trPr>
        <w:tc>
          <w:tcPr>
            <w:tcW w:w="834" w:type="dxa"/>
          </w:tcPr>
          <w:p w14:paraId="033F5616" w14:textId="41A6F4EA" w:rsidR="007F33FA" w:rsidRPr="0088680A" w:rsidRDefault="007F33FA" w:rsidP="00826F51">
            <w:pPr>
              <w:tabs>
                <w:tab w:val="left" w:pos="360"/>
              </w:tabs>
              <w:jc w:val="center"/>
              <w:rPr>
                <w:rFonts w:cs="Times New Roman"/>
                <w:sz w:val="20"/>
                <w:szCs w:val="20"/>
              </w:rPr>
            </w:pPr>
            <w:r w:rsidRPr="0088680A">
              <w:rPr>
                <w:rFonts w:cs="Times New Roman"/>
                <w:sz w:val="20"/>
                <w:szCs w:val="20"/>
              </w:rPr>
              <w:t>2</w:t>
            </w:r>
          </w:p>
        </w:tc>
        <w:tc>
          <w:tcPr>
            <w:tcW w:w="1566" w:type="dxa"/>
          </w:tcPr>
          <w:p w14:paraId="2FD63501" w14:textId="7FE1586C" w:rsidR="007F33FA" w:rsidRPr="0088680A" w:rsidRDefault="007F33FA" w:rsidP="00520EBD">
            <w:pPr>
              <w:jc w:val="center"/>
              <w:rPr>
                <w:rFonts w:cs="Times New Roman"/>
                <w:b/>
                <w:bCs/>
                <w:sz w:val="20"/>
                <w:szCs w:val="20"/>
              </w:rPr>
            </w:pPr>
            <w:r w:rsidRPr="0088680A">
              <w:rPr>
                <w:rFonts w:cs="Times New Roman"/>
                <w:b/>
                <w:bCs/>
                <w:sz w:val="20"/>
                <w:szCs w:val="20"/>
              </w:rPr>
              <w:t>§ 2 pkt 4 projektu</w:t>
            </w:r>
          </w:p>
        </w:tc>
        <w:tc>
          <w:tcPr>
            <w:tcW w:w="2557" w:type="dxa"/>
          </w:tcPr>
          <w:p w14:paraId="7A99F1AF" w14:textId="49690326" w:rsidR="007F33FA" w:rsidRPr="0088680A" w:rsidRDefault="007F33FA" w:rsidP="00B94C86">
            <w:pPr>
              <w:jc w:val="center"/>
              <w:rPr>
                <w:rFonts w:cs="Times New Roman"/>
                <w:b/>
                <w:bCs/>
                <w:sz w:val="20"/>
                <w:szCs w:val="20"/>
              </w:rPr>
            </w:pPr>
            <w:r w:rsidRPr="0088680A">
              <w:rPr>
                <w:rFonts w:cs="Times New Roman"/>
                <w:b/>
                <w:bCs/>
                <w:sz w:val="20"/>
                <w:szCs w:val="20"/>
              </w:rPr>
              <w:t>Konfederacja Lewiatan</w:t>
            </w:r>
          </w:p>
          <w:p w14:paraId="17DFC174" w14:textId="3669F317" w:rsidR="007F33FA" w:rsidRPr="0088680A" w:rsidRDefault="007F33FA" w:rsidP="00826F51">
            <w:pPr>
              <w:jc w:val="both"/>
              <w:rPr>
                <w:rFonts w:cs="Times New Roman"/>
                <w:b/>
                <w:bCs/>
                <w:sz w:val="20"/>
                <w:szCs w:val="20"/>
              </w:rPr>
            </w:pPr>
          </w:p>
        </w:tc>
        <w:tc>
          <w:tcPr>
            <w:tcW w:w="4677" w:type="dxa"/>
          </w:tcPr>
          <w:p w14:paraId="2D169442" w14:textId="74719E5A" w:rsidR="007F33FA" w:rsidRPr="0088680A" w:rsidRDefault="007F33FA" w:rsidP="00844D68">
            <w:pPr>
              <w:jc w:val="both"/>
              <w:rPr>
                <w:rFonts w:cs="Times New Roman"/>
                <w:sz w:val="20"/>
                <w:szCs w:val="20"/>
              </w:rPr>
            </w:pPr>
            <w:r w:rsidRPr="0088680A">
              <w:rPr>
                <w:rFonts w:cs="Times New Roman"/>
                <w:sz w:val="20"/>
                <w:szCs w:val="20"/>
              </w:rPr>
              <w:t xml:space="preserve">Rekomendowana jest </w:t>
            </w:r>
            <w:r w:rsidRPr="0088680A">
              <w:rPr>
                <w:rFonts w:cs="Times New Roman"/>
                <w:sz w:val="20"/>
                <w:szCs w:val="20"/>
                <w:u w:val="single"/>
              </w:rPr>
              <w:t>zmiana treści proj. przepisu na</w:t>
            </w:r>
            <w:r w:rsidRPr="0088680A">
              <w:rPr>
                <w:rFonts w:cs="Times New Roman"/>
                <w:sz w:val="20"/>
                <w:szCs w:val="20"/>
              </w:rPr>
              <w:t xml:space="preserve">: </w:t>
            </w:r>
            <w:r w:rsidRPr="0088680A">
              <w:rPr>
                <w:rFonts w:cs="Times New Roman"/>
                <w:i/>
                <w:iCs/>
                <w:sz w:val="20"/>
                <w:szCs w:val="20"/>
              </w:rPr>
              <w:t>„odbiorze pisma – rozumie się przez to pierwsze zapoznanie się przez użytkownika z pismem podlegającym doręczeniu za pośrednictwem portalu informacyjnego w stosownej zakładce służącej doręczaniu pism ze skutkiem, o którym mowa w art. 131</w:t>
            </w:r>
            <w:r w:rsidRPr="0088680A">
              <w:rPr>
                <w:rFonts w:cs="Times New Roman"/>
                <w:i/>
                <w:iCs/>
                <w:sz w:val="20"/>
                <w:szCs w:val="20"/>
                <w:vertAlign w:val="superscript"/>
              </w:rPr>
              <w:t>1a</w:t>
            </w:r>
            <w:r w:rsidRPr="0088680A">
              <w:rPr>
                <w:rFonts w:cs="Times New Roman"/>
                <w:i/>
                <w:iCs/>
                <w:sz w:val="20"/>
                <w:szCs w:val="20"/>
              </w:rPr>
              <w:t xml:space="preserve"> § 1 ustawy, w sposób umożliwiający uzyskanie przez odbiorcę dokumentu potwierdzającego doręczenie, chyba że zapoznanie się z treścią pisma nie było możliwe z przyczyn związanych </w:t>
            </w:r>
            <w:r w:rsidRPr="0088680A">
              <w:rPr>
                <w:rFonts w:cs="Times New Roman"/>
                <w:b/>
                <w:bCs/>
                <w:i/>
                <w:iCs/>
                <w:sz w:val="20"/>
                <w:szCs w:val="20"/>
                <w:u w:val="single"/>
              </w:rPr>
              <w:t>choćby pośrednio</w:t>
            </w:r>
            <w:r w:rsidRPr="0088680A">
              <w:rPr>
                <w:rFonts w:cs="Times New Roman"/>
                <w:i/>
                <w:iCs/>
                <w:sz w:val="20"/>
                <w:szCs w:val="20"/>
              </w:rPr>
              <w:t xml:space="preserve"> </w:t>
            </w:r>
            <w:r w:rsidRPr="0088680A">
              <w:rPr>
                <w:rFonts w:cs="Times New Roman"/>
                <w:i/>
                <w:iCs/>
                <w:strike/>
                <w:sz w:val="20"/>
                <w:szCs w:val="20"/>
              </w:rPr>
              <w:t>bezpośrednio</w:t>
            </w:r>
            <w:r w:rsidRPr="0088680A">
              <w:rPr>
                <w:rFonts w:cs="Times New Roman"/>
                <w:i/>
                <w:iCs/>
                <w:sz w:val="20"/>
                <w:szCs w:val="20"/>
              </w:rPr>
              <w:t xml:space="preserve"> z funkcjonowaniem tego systemu”.</w:t>
            </w:r>
            <w:r w:rsidRPr="0088680A">
              <w:rPr>
                <w:rFonts w:cs="Times New Roman"/>
                <w:sz w:val="20"/>
                <w:szCs w:val="20"/>
              </w:rPr>
              <w:t xml:space="preserve"> </w:t>
            </w:r>
          </w:p>
          <w:p w14:paraId="22822800" w14:textId="13609DDC" w:rsidR="007F33FA" w:rsidRPr="0088680A" w:rsidRDefault="007F33FA" w:rsidP="00844D68">
            <w:pPr>
              <w:jc w:val="both"/>
              <w:rPr>
                <w:rFonts w:cs="Times New Roman"/>
                <w:sz w:val="20"/>
                <w:szCs w:val="20"/>
              </w:rPr>
            </w:pPr>
            <w:r w:rsidRPr="0088680A">
              <w:rPr>
                <w:rFonts w:cs="Times New Roman"/>
                <w:sz w:val="20"/>
                <w:szCs w:val="20"/>
                <w:u w:val="single"/>
              </w:rPr>
              <w:t xml:space="preserve">Zmiana jest proponowana ze względu na konieczność rozróżnienia sytuacji, w której system jest wyłączony od </w:t>
            </w:r>
            <w:r w:rsidR="00FD2A59" w:rsidRPr="0088680A">
              <w:rPr>
                <w:rFonts w:cs="Times New Roman"/>
                <w:sz w:val="20"/>
                <w:szCs w:val="20"/>
                <w:u w:val="single"/>
              </w:rPr>
              <w:t>sytuacji,</w:t>
            </w:r>
            <w:r w:rsidRPr="0088680A">
              <w:rPr>
                <w:rFonts w:cs="Times New Roman"/>
                <w:sz w:val="20"/>
                <w:szCs w:val="20"/>
                <w:u w:val="single"/>
              </w:rPr>
              <w:t xml:space="preserve"> w której nie zaczytuje swojej zawartości.</w:t>
            </w:r>
            <w:r w:rsidRPr="0088680A">
              <w:rPr>
                <w:rFonts w:cs="Times New Roman"/>
                <w:sz w:val="20"/>
                <w:szCs w:val="20"/>
              </w:rPr>
              <w:t xml:space="preserve"> Względnie należałoby zdefiniować katalog przyczyn wyłączających skuteczność doręczenia choćby w otwartym katalogu</w:t>
            </w:r>
            <w:r w:rsidR="00201A4D">
              <w:rPr>
                <w:rFonts w:cs="Times New Roman"/>
                <w:sz w:val="20"/>
                <w:szCs w:val="20"/>
              </w:rPr>
              <w:t xml:space="preserve">. </w:t>
            </w:r>
          </w:p>
          <w:p w14:paraId="7E0D4053" w14:textId="104938E0" w:rsidR="007F33FA" w:rsidRPr="0088680A" w:rsidRDefault="007F33FA" w:rsidP="00283F22">
            <w:pPr>
              <w:pStyle w:val="Tekstpodstawowy"/>
              <w:rPr>
                <w:rFonts w:eastAsiaTheme="minorHAnsi"/>
                <w:color w:val="auto"/>
                <w:sz w:val="20"/>
                <w:lang w:eastAsia="en-US"/>
              </w:rPr>
            </w:pPr>
          </w:p>
        </w:tc>
        <w:tc>
          <w:tcPr>
            <w:tcW w:w="4675" w:type="dxa"/>
          </w:tcPr>
          <w:p w14:paraId="4B27FA0C" w14:textId="77777777" w:rsidR="00201A4D" w:rsidRDefault="00201A4D" w:rsidP="00B62148">
            <w:pPr>
              <w:jc w:val="both"/>
              <w:rPr>
                <w:rFonts w:cs="Times New Roman"/>
                <w:b/>
                <w:bCs/>
                <w:sz w:val="20"/>
                <w:szCs w:val="20"/>
              </w:rPr>
            </w:pPr>
            <w:r w:rsidRPr="00201A4D">
              <w:rPr>
                <w:rFonts w:cs="Times New Roman"/>
                <w:b/>
                <w:bCs/>
                <w:sz w:val="20"/>
                <w:szCs w:val="20"/>
              </w:rPr>
              <w:t xml:space="preserve">Uwaga częściowo uwzględniona. </w:t>
            </w:r>
          </w:p>
          <w:p w14:paraId="7678921B" w14:textId="431A8840" w:rsidR="007F33FA" w:rsidRPr="00201A4D" w:rsidRDefault="00201A4D" w:rsidP="00B62148">
            <w:pPr>
              <w:jc w:val="both"/>
              <w:rPr>
                <w:rFonts w:cs="Times New Roman"/>
                <w:b/>
                <w:bCs/>
                <w:sz w:val="20"/>
                <w:szCs w:val="20"/>
              </w:rPr>
            </w:pPr>
            <w:r w:rsidRPr="00201A4D">
              <w:rPr>
                <w:rFonts w:cs="Times New Roman"/>
                <w:sz w:val="20"/>
                <w:szCs w:val="20"/>
              </w:rPr>
              <w:t>Zmieniono brzemiennie tego punktu</w:t>
            </w:r>
            <w:r w:rsidR="002D7FE1">
              <w:rPr>
                <w:rFonts w:cs="Times New Roman"/>
                <w:sz w:val="20"/>
                <w:szCs w:val="20"/>
              </w:rPr>
              <w:t xml:space="preserve"> (obecnie jest to pkt 3)</w:t>
            </w:r>
            <w:r w:rsidRPr="00201A4D">
              <w:rPr>
                <w:rFonts w:cs="Times New Roman"/>
                <w:sz w:val="20"/>
                <w:szCs w:val="20"/>
              </w:rPr>
              <w:t>.</w:t>
            </w:r>
          </w:p>
        </w:tc>
      </w:tr>
      <w:tr w:rsidR="007F33FA" w:rsidRPr="0088680A" w14:paraId="6168CD6D" w14:textId="77777777" w:rsidTr="007F33FA">
        <w:trPr>
          <w:trHeight w:val="1098"/>
        </w:trPr>
        <w:tc>
          <w:tcPr>
            <w:tcW w:w="834" w:type="dxa"/>
          </w:tcPr>
          <w:p w14:paraId="630F12F6" w14:textId="3D0E978A" w:rsidR="007F33FA" w:rsidRPr="0088680A" w:rsidRDefault="007F33FA" w:rsidP="00826F51">
            <w:pPr>
              <w:tabs>
                <w:tab w:val="left" w:pos="360"/>
              </w:tabs>
              <w:jc w:val="center"/>
              <w:rPr>
                <w:rFonts w:cs="Times New Roman"/>
                <w:sz w:val="20"/>
                <w:szCs w:val="20"/>
              </w:rPr>
            </w:pPr>
            <w:r w:rsidRPr="0088680A">
              <w:rPr>
                <w:rFonts w:cs="Times New Roman"/>
                <w:sz w:val="20"/>
                <w:szCs w:val="20"/>
              </w:rPr>
              <w:lastRenderedPageBreak/>
              <w:t>3</w:t>
            </w:r>
          </w:p>
        </w:tc>
        <w:tc>
          <w:tcPr>
            <w:tcW w:w="1566" w:type="dxa"/>
          </w:tcPr>
          <w:p w14:paraId="498C4DC4" w14:textId="38F0234B" w:rsidR="007F33FA" w:rsidRPr="0088680A" w:rsidRDefault="007F33FA" w:rsidP="00B94C86">
            <w:pPr>
              <w:jc w:val="center"/>
              <w:rPr>
                <w:rFonts w:cs="Times New Roman"/>
                <w:b/>
                <w:bCs/>
                <w:sz w:val="20"/>
                <w:szCs w:val="20"/>
              </w:rPr>
            </w:pPr>
            <w:r w:rsidRPr="0088680A">
              <w:rPr>
                <w:rFonts w:cs="Times New Roman"/>
                <w:b/>
                <w:bCs/>
                <w:sz w:val="20"/>
                <w:szCs w:val="20"/>
              </w:rPr>
              <w:t>§ 2 pkt 5 projektu</w:t>
            </w:r>
          </w:p>
          <w:p w14:paraId="54574686" w14:textId="1CE817FC" w:rsidR="007F33FA" w:rsidRPr="0088680A" w:rsidRDefault="007F33FA" w:rsidP="00826F51">
            <w:pPr>
              <w:jc w:val="both"/>
              <w:rPr>
                <w:rFonts w:cs="Times New Roman"/>
                <w:b/>
                <w:bCs/>
                <w:sz w:val="20"/>
                <w:szCs w:val="20"/>
              </w:rPr>
            </w:pPr>
          </w:p>
        </w:tc>
        <w:tc>
          <w:tcPr>
            <w:tcW w:w="2557" w:type="dxa"/>
          </w:tcPr>
          <w:p w14:paraId="3C0C4974" w14:textId="3E4D3D09" w:rsidR="007F33FA" w:rsidRPr="0088680A" w:rsidRDefault="007F33FA" w:rsidP="00520EBD">
            <w:pPr>
              <w:jc w:val="center"/>
              <w:rPr>
                <w:rFonts w:cs="Times New Roman"/>
                <w:b/>
                <w:bCs/>
                <w:sz w:val="20"/>
                <w:szCs w:val="20"/>
              </w:rPr>
            </w:pPr>
            <w:r w:rsidRPr="0088680A">
              <w:rPr>
                <w:rFonts w:cs="Times New Roman"/>
                <w:b/>
                <w:bCs/>
                <w:sz w:val="20"/>
                <w:szCs w:val="20"/>
              </w:rPr>
              <w:t>Konfederacja Lewiatan</w:t>
            </w:r>
          </w:p>
          <w:p w14:paraId="3E8D3EB9" w14:textId="72DF4DF4" w:rsidR="007F33FA" w:rsidRPr="0088680A" w:rsidRDefault="007F33FA" w:rsidP="00826F51">
            <w:pPr>
              <w:jc w:val="both"/>
              <w:rPr>
                <w:rFonts w:cs="Times New Roman"/>
                <w:b/>
                <w:bCs/>
                <w:sz w:val="20"/>
                <w:szCs w:val="20"/>
              </w:rPr>
            </w:pPr>
          </w:p>
        </w:tc>
        <w:tc>
          <w:tcPr>
            <w:tcW w:w="4677" w:type="dxa"/>
          </w:tcPr>
          <w:p w14:paraId="1252D9C0" w14:textId="30F7E3F0" w:rsidR="00B15A83" w:rsidRPr="0088680A" w:rsidRDefault="007F33FA" w:rsidP="00844D68">
            <w:pPr>
              <w:jc w:val="both"/>
              <w:rPr>
                <w:rFonts w:cs="Times New Roman"/>
                <w:b/>
                <w:bCs/>
                <w:sz w:val="20"/>
                <w:szCs w:val="20"/>
              </w:rPr>
            </w:pPr>
            <w:r w:rsidRPr="0088680A">
              <w:rPr>
                <w:rFonts w:cs="Times New Roman"/>
                <w:sz w:val="20"/>
                <w:szCs w:val="20"/>
              </w:rPr>
              <w:t xml:space="preserve">Rekomendowane jest </w:t>
            </w:r>
            <w:r w:rsidRPr="0088680A">
              <w:rPr>
                <w:rFonts w:cs="Times New Roman"/>
                <w:sz w:val="20"/>
                <w:szCs w:val="20"/>
                <w:u w:val="single"/>
              </w:rPr>
              <w:t xml:space="preserve">zmiana treści proj. przepisu </w:t>
            </w:r>
            <w:r w:rsidR="00FD2A59" w:rsidRPr="0088680A">
              <w:rPr>
                <w:rFonts w:cs="Times New Roman"/>
                <w:sz w:val="20"/>
                <w:szCs w:val="20"/>
                <w:u w:val="single"/>
              </w:rPr>
              <w:t>na:</w:t>
            </w:r>
            <w:r w:rsidR="00FD2A59" w:rsidRPr="0088680A">
              <w:rPr>
                <w:rFonts w:cs="Times New Roman"/>
                <w:sz w:val="20"/>
                <w:szCs w:val="20"/>
              </w:rPr>
              <w:t xml:space="preserve"> </w:t>
            </w:r>
            <w:r w:rsidR="00E67EF7" w:rsidRPr="00E67EF7">
              <w:rPr>
                <w:rFonts w:cs="Times New Roman"/>
                <w:i/>
                <w:iCs/>
                <w:sz w:val="20"/>
                <w:szCs w:val="20"/>
              </w:rPr>
              <w:t>„</w:t>
            </w:r>
            <w:r w:rsidR="00FD2A59" w:rsidRPr="00E67EF7">
              <w:rPr>
                <w:rFonts w:cs="Times New Roman"/>
                <w:i/>
                <w:iCs/>
                <w:sz w:val="20"/>
                <w:szCs w:val="20"/>
              </w:rPr>
              <w:t>piśmie</w:t>
            </w:r>
            <w:r w:rsidRPr="0088680A">
              <w:rPr>
                <w:rFonts w:cs="Times New Roman"/>
                <w:i/>
                <w:iCs/>
                <w:sz w:val="20"/>
                <w:szCs w:val="20"/>
              </w:rPr>
              <w:t xml:space="preserve"> – rozumie się przez to dane z portalu informacyjnego obejmujące treść pisma sądowego podlegającego doręczeniu, w tym orzeczenia </w:t>
            </w:r>
            <w:r w:rsidRPr="0088680A">
              <w:rPr>
                <w:rFonts w:cs="Times New Roman"/>
                <w:b/>
                <w:bCs/>
                <w:i/>
                <w:iCs/>
                <w:sz w:val="20"/>
                <w:szCs w:val="20"/>
              </w:rPr>
              <w:t>i zarządzenia”</w:t>
            </w:r>
          </w:p>
          <w:p w14:paraId="00498FB9" w14:textId="77777777" w:rsidR="007F33FA" w:rsidRPr="0088680A" w:rsidRDefault="007F33FA" w:rsidP="00844D68">
            <w:pPr>
              <w:jc w:val="both"/>
              <w:rPr>
                <w:rFonts w:cs="Times New Roman"/>
                <w:sz w:val="20"/>
                <w:szCs w:val="20"/>
              </w:rPr>
            </w:pPr>
            <w:r w:rsidRPr="0088680A">
              <w:rPr>
                <w:rFonts w:cs="Times New Roman"/>
                <w:sz w:val="20"/>
                <w:szCs w:val="20"/>
                <w:u w:val="single"/>
              </w:rPr>
              <w:t>Proponowane doprecyzowanie usunie wątpliwość, co konkretnie powinien publikować sąd (a w praktyce – sekretarz sądowy), w zakładce „Moje doręczenia” oraz ograniczy liczbę pomyłek mogących wpłynąć na sprawność przebiegu procesu</w:t>
            </w:r>
            <w:r w:rsidRPr="0088680A">
              <w:rPr>
                <w:rFonts w:cs="Times New Roman"/>
                <w:sz w:val="20"/>
                <w:szCs w:val="20"/>
              </w:rPr>
              <w:t xml:space="preserve">. </w:t>
            </w:r>
          </w:p>
          <w:p w14:paraId="6AE639A8" w14:textId="77777777" w:rsidR="007F33FA" w:rsidRPr="0088680A" w:rsidRDefault="007F33FA" w:rsidP="00B15A83">
            <w:pPr>
              <w:jc w:val="both"/>
              <w:rPr>
                <w:rFonts w:cs="Times New Roman"/>
                <w:sz w:val="20"/>
                <w:szCs w:val="20"/>
              </w:rPr>
            </w:pPr>
            <w:r w:rsidRPr="0088680A">
              <w:rPr>
                <w:rFonts w:cs="Times New Roman"/>
                <w:sz w:val="20"/>
                <w:szCs w:val="20"/>
              </w:rPr>
              <w:t xml:space="preserve">Wyraźne wskazanie, że publikacji podlega pismo przewodnie plus orzeczenie lub/i zarządzenie (załącznikiem do pisma przewodniego może być także zarządzenie, np. o zwrocie pozwu/pisma, które już orzeczeniem nie jest), zmniejszy ryzyko pomyłek, a co za tym idzie, wyeliminuje wątpliwość czy doręczenie samego pisma przewodniego już jest skuteczne i biegnie termin, czy też bieg terminu nie rozpoczął się i należy oczekiwać na odrębne dołączenie zarządzenia (czyli de facto kompletu dokumentów). W praktyce zdarzają się przypadki otrzymywania tylko pisma przewodniego (bez załącznika), co wywołuje zbędne wątpliwości co do rozpoczęcia biegu terminów procesowych. </w:t>
            </w:r>
          </w:p>
          <w:p w14:paraId="4BAC2808" w14:textId="34725F73" w:rsidR="00B15A83" w:rsidRPr="0088680A" w:rsidRDefault="00B15A83" w:rsidP="00B15A83">
            <w:pPr>
              <w:jc w:val="both"/>
              <w:rPr>
                <w:sz w:val="20"/>
                <w:szCs w:val="20"/>
              </w:rPr>
            </w:pPr>
          </w:p>
        </w:tc>
        <w:tc>
          <w:tcPr>
            <w:tcW w:w="4675" w:type="dxa"/>
          </w:tcPr>
          <w:p w14:paraId="2688992B" w14:textId="216E5B2B" w:rsidR="007F33FA" w:rsidRPr="00201A4D" w:rsidRDefault="00201A4D" w:rsidP="00B62148">
            <w:pPr>
              <w:jc w:val="both"/>
              <w:rPr>
                <w:rFonts w:cs="Times New Roman"/>
                <w:b/>
                <w:bCs/>
                <w:sz w:val="20"/>
                <w:szCs w:val="20"/>
              </w:rPr>
            </w:pPr>
            <w:r w:rsidRPr="00201A4D">
              <w:rPr>
                <w:rFonts w:cs="Times New Roman"/>
                <w:b/>
                <w:bCs/>
                <w:sz w:val="20"/>
                <w:szCs w:val="20"/>
              </w:rPr>
              <w:t xml:space="preserve">Uwaga nieuwzględniona. </w:t>
            </w:r>
          </w:p>
        </w:tc>
      </w:tr>
      <w:tr w:rsidR="007F33FA" w:rsidRPr="0088680A" w14:paraId="2CFC9D6A" w14:textId="77777777" w:rsidTr="007F33FA">
        <w:trPr>
          <w:trHeight w:val="1098"/>
        </w:trPr>
        <w:tc>
          <w:tcPr>
            <w:tcW w:w="834" w:type="dxa"/>
          </w:tcPr>
          <w:p w14:paraId="0E44447B" w14:textId="4E87E592" w:rsidR="007F33FA" w:rsidRPr="0088680A" w:rsidRDefault="007F33FA" w:rsidP="004230D8">
            <w:pPr>
              <w:tabs>
                <w:tab w:val="left" w:pos="360"/>
              </w:tabs>
              <w:jc w:val="center"/>
              <w:rPr>
                <w:rFonts w:cs="Times New Roman"/>
                <w:sz w:val="20"/>
                <w:szCs w:val="20"/>
              </w:rPr>
            </w:pPr>
            <w:r w:rsidRPr="0088680A">
              <w:rPr>
                <w:rFonts w:cs="Times New Roman"/>
                <w:sz w:val="20"/>
                <w:szCs w:val="20"/>
              </w:rPr>
              <w:t>4</w:t>
            </w:r>
          </w:p>
        </w:tc>
        <w:tc>
          <w:tcPr>
            <w:tcW w:w="1566" w:type="dxa"/>
          </w:tcPr>
          <w:p w14:paraId="2118B99D" w14:textId="2CA18257" w:rsidR="007F33FA" w:rsidRPr="0088680A" w:rsidRDefault="007F33FA" w:rsidP="00B94C86">
            <w:pPr>
              <w:jc w:val="center"/>
              <w:rPr>
                <w:rFonts w:cs="Times New Roman"/>
                <w:b/>
                <w:bCs/>
                <w:sz w:val="20"/>
                <w:szCs w:val="20"/>
              </w:rPr>
            </w:pPr>
            <w:r w:rsidRPr="0088680A">
              <w:rPr>
                <w:rFonts w:cs="Times New Roman"/>
                <w:b/>
                <w:bCs/>
                <w:sz w:val="20"/>
                <w:szCs w:val="20"/>
              </w:rPr>
              <w:t>Uzasadnienie do § 5 projektu</w:t>
            </w:r>
          </w:p>
          <w:p w14:paraId="6C03DB7A" w14:textId="72355146" w:rsidR="007F33FA" w:rsidRPr="0088680A" w:rsidRDefault="007F33FA" w:rsidP="004230D8">
            <w:pPr>
              <w:jc w:val="both"/>
              <w:rPr>
                <w:rFonts w:cs="Times New Roman"/>
                <w:b/>
                <w:bCs/>
                <w:sz w:val="20"/>
                <w:szCs w:val="20"/>
              </w:rPr>
            </w:pPr>
          </w:p>
        </w:tc>
        <w:tc>
          <w:tcPr>
            <w:tcW w:w="2557" w:type="dxa"/>
          </w:tcPr>
          <w:p w14:paraId="5CAA9694" w14:textId="77777777" w:rsidR="007F33FA" w:rsidRPr="0088680A" w:rsidRDefault="007F33FA" w:rsidP="00B94C86">
            <w:pPr>
              <w:jc w:val="center"/>
              <w:rPr>
                <w:rFonts w:cs="Times New Roman"/>
                <w:b/>
                <w:bCs/>
                <w:sz w:val="20"/>
                <w:szCs w:val="20"/>
              </w:rPr>
            </w:pPr>
            <w:r w:rsidRPr="0088680A">
              <w:rPr>
                <w:rFonts w:cs="Times New Roman"/>
                <w:b/>
                <w:bCs/>
                <w:sz w:val="20"/>
                <w:szCs w:val="20"/>
              </w:rPr>
              <w:t>Konfederacja Lewiatan</w:t>
            </w:r>
          </w:p>
          <w:p w14:paraId="25125661" w14:textId="0EECD7B8" w:rsidR="007F33FA" w:rsidRPr="0088680A" w:rsidRDefault="007F33FA" w:rsidP="004230D8">
            <w:pPr>
              <w:jc w:val="both"/>
              <w:rPr>
                <w:rFonts w:cs="Times New Roman"/>
                <w:b/>
                <w:bCs/>
                <w:sz w:val="20"/>
                <w:szCs w:val="20"/>
              </w:rPr>
            </w:pPr>
          </w:p>
        </w:tc>
        <w:tc>
          <w:tcPr>
            <w:tcW w:w="4677" w:type="dxa"/>
          </w:tcPr>
          <w:p w14:paraId="3E42FDCD" w14:textId="77777777" w:rsidR="0088680A" w:rsidRDefault="007F33FA" w:rsidP="007F33FA">
            <w:pPr>
              <w:pStyle w:val="NormalnyWeb"/>
              <w:shd w:val="clear" w:color="auto" w:fill="FFFFFF"/>
              <w:spacing w:before="0" w:beforeAutospacing="0"/>
              <w:jc w:val="both"/>
              <w:rPr>
                <w:sz w:val="20"/>
                <w:szCs w:val="20"/>
              </w:rPr>
            </w:pPr>
            <w:r w:rsidRPr="0088680A">
              <w:rPr>
                <w:sz w:val="20"/>
                <w:szCs w:val="20"/>
                <w:u w:val="single"/>
              </w:rPr>
              <w:t>Uzasadnienie § 5 proj. jest nieadekwatne do treści proj. przepisu.</w:t>
            </w:r>
            <w:r w:rsidRPr="0088680A">
              <w:rPr>
                <w:sz w:val="20"/>
                <w:szCs w:val="20"/>
              </w:rPr>
              <w:t xml:space="preserve"> </w:t>
            </w:r>
            <w:r w:rsidRPr="00201A4D">
              <w:rPr>
                <w:sz w:val="20"/>
                <w:szCs w:val="20"/>
              </w:rPr>
              <w:t xml:space="preserve">Uzasadnienie odnosi się do </w:t>
            </w:r>
            <w:r w:rsidRPr="00201A4D">
              <w:rPr>
                <w:sz w:val="20"/>
                <w:szCs w:val="20"/>
                <w:u w:val="single"/>
              </w:rPr>
              <w:t>wnoszenia pism</w:t>
            </w:r>
            <w:r w:rsidRPr="00201A4D">
              <w:rPr>
                <w:sz w:val="20"/>
                <w:szCs w:val="20"/>
              </w:rPr>
              <w:t xml:space="preserve">, a rozporządzenie normuje kwestię </w:t>
            </w:r>
            <w:r w:rsidRPr="00201A4D">
              <w:rPr>
                <w:sz w:val="20"/>
                <w:szCs w:val="20"/>
                <w:u w:val="single"/>
              </w:rPr>
              <w:t>odbioru pism</w:t>
            </w:r>
            <w:r w:rsidRPr="00201A4D">
              <w:rPr>
                <w:sz w:val="20"/>
                <w:szCs w:val="20"/>
              </w:rPr>
              <w:t xml:space="preserve">. </w:t>
            </w:r>
            <w:r w:rsidRPr="0088680A">
              <w:rPr>
                <w:sz w:val="20"/>
                <w:szCs w:val="20"/>
              </w:rPr>
              <w:t>Paragraf 5 proj</w:t>
            </w:r>
            <w:r w:rsidR="001B5D35">
              <w:rPr>
                <w:sz w:val="20"/>
                <w:szCs w:val="20"/>
              </w:rPr>
              <w:t xml:space="preserve">. </w:t>
            </w:r>
            <w:r w:rsidRPr="0088680A">
              <w:rPr>
                <w:sz w:val="20"/>
                <w:szCs w:val="20"/>
              </w:rPr>
              <w:t xml:space="preserve">stanowi, że pismo może być doręczane </w:t>
            </w:r>
            <w:r w:rsidRPr="0088680A">
              <w:rPr>
                <w:i/>
                <w:iCs/>
                <w:sz w:val="20"/>
                <w:szCs w:val="20"/>
              </w:rPr>
              <w:t>„za pośrednictwem wskazanego przez niego innego użytkownika upoważnionego do odbioru pism”,</w:t>
            </w:r>
            <w:r w:rsidRPr="0088680A">
              <w:rPr>
                <w:sz w:val="20"/>
                <w:szCs w:val="20"/>
              </w:rPr>
              <w:t xml:space="preserve"> w treści projektu tymczasem </w:t>
            </w:r>
            <w:r w:rsidRPr="0088680A">
              <w:rPr>
                <w:sz w:val="20"/>
                <w:szCs w:val="20"/>
                <w:u w:val="single"/>
              </w:rPr>
              <w:t>brak definicji</w:t>
            </w:r>
            <w:r w:rsidRPr="0088680A">
              <w:rPr>
                <w:sz w:val="20"/>
                <w:szCs w:val="20"/>
              </w:rPr>
              <w:t>: „</w:t>
            </w:r>
            <w:r w:rsidRPr="0088680A">
              <w:rPr>
                <w:i/>
                <w:iCs/>
                <w:sz w:val="20"/>
                <w:szCs w:val="20"/>
              </w:rPr>
              <w:t>innego użytkownika upoważnionego do odbioru pism”.</w:t>
            </w:r>
            <w:r w:rsidRPr="0088680A">
              <w:rPr>
                <w:sz w:val="20"/>
                <w:szCs w:val="20"/>
              </w:rPr>
              <w:t xml:space="preserve">        </w:t>
            </w:r>
            <w:r w:rsidR="003D6133" w:rsidRPr="0088680A">
              <w:rPr>
                <w:sz w:val="20"/>
                <w:szCs w:val="20"/>
              </w:rPr>
              <w:t xml:space="preserve">                                           </w:t>
            </w:r>
            <w:r w:rsidRPr="0088680A">
              <w:rPr>
                <w:sz w:val="20"/>
                <w:szCs w:val="20"/>
              </w:rPr>
              <w:t xml:space="preserve">  Czy § 5 proj. </w:t>
            </w:r>
            <w:r w:rsidR="00FD2A59" w:rsidRPr="0088680A">
              <w:rPr>
                <w:sz w:val="20"/>
                <w:szCs w:val="20"/>
              </w:rPr>
              <w:t>oznacza,</w:t>
            </w:r>
            <w:r w:rsidRPr="0088680A">
              <w:rPr>
                <w:sz w:val="20"/>
                <w:szCs w:val="20"/>
              </w:rPr>
              <w:t xml:space="preserve"> że proj</w:t>
            </w:r>
            <w:r w:rsidR="001B5D35">
              <w:rPr>
                <w:sz w:val="20"/>
                <w:szCs w:val="20"/>
              </w:rPr>
              <w:t xml:space="preserve">. </w:t>
            </w:r>
            <w:r w:rsidRPr="0088680A">
              <w:rPr>
                <w:sz w:val="20"/>
                <w:szCs w:val="20"/>
              </w:rPr>
              <w:t xml:space="preserve">jest wprowadzenie nowej funkcjonalność w portalu dla odbioru pism przez </w:t>
            </w:r>
            <w:r w:rsidRPr="0088680A">
              <w:rPr>
                <w:sz w:val="20"/>
                <w:szCs w:val="20"/>
              </w:rPr>
              <w:lastRenderedPageBreak/>
              <w:t>współuczestników sporu (tak sugeruje uzasadnienie proj</w:t>
            </w:r>
            <w:r w:rsidR="001B5D35">
              <w:rPr>
                <w:sz w:val="20"/>
                <w:szCs w:val="20"/>
              </w:rPr>
              <w:t>.</w:t>
            </w:r>
            <w:r w:rsidRPr="0088680A">
              <w:rPr>
                <w:sz w:val="20"/>
                <w:szCs w:val="20"/>
              </w:rPr>
              <w:t>)? Czy też przepis ten odnosi się do użytkowników kont zależnych? Jeśli tak to wyraźnie powinno być wskazane, że jest możliwość odbioru korespondencji przez użytkownika konta zależnego, które to konto mogą tworzyć pełnomocnicy zawodowi</w:t>
            </w:r>
            <w:r w:rsidR="006F5FC8" w:rsidRPr="0088680A">
              <w:rPr>
                <w:sz w:val="20"/>
                <w:szCs w:val="20"/>
              </w:rPr>
              <w:t xml:space="preserve">. </w:t>
            </w:r>
          </w:p>
          <w:p w14:paraId="4B8890BE" w14:textId="52C3928A" w:rsidR="001B5D35" w:rsidRPr="0088680A" w:rsidRDefault="001B5D35" w:rsidP="007F33FA">
            <w:pPr>
              <w:pStyle w:val="NormalnyWeb"/>
              <w:shd w:val="clear" w:color="auto" w:fill="FFFFFF"/>
              <w:spacing w:before="0" w:beforeAutospacing="0"/>
              <w:jc w:val="both"/>
              <w:rPr>
                <w:sz w:val="20"/>
                <w:szCs w:val="20"/>
              </w:rPr>
            </w:pPr>
          </w:p>
        </w:tc>
        <w:tc>
          <w:tcPr>
            <w:tcW w:w="4675" w:type="dxa"/>
          </w:tcPr>
          <w:p w14:paraId="5125AA21" w14:textId="1F73C21F" w:rsidR="007F33FA" w:rsidRPr="00201A4D" w:rsidRDefault="00201A4D" w:rsidP="004230D8">
            <w:pPr>
              <w:jc w:val="both"/>
              <w:rPr>
                <w:rFonts w:cs="Times New Roman"/>
                <w:b/>
                <w:bCs/>
                <w:sz w:val="20"/>
                <w:szCs w:val="20"/>
              </w:rPr>
            </w:pPr>
            <w:r w:rsidRPr="00201A4D">
              <w:rPr>
                <w:rFonts w:cs="Times New Roman"/>
                <w:b/>
                <w:bCs/>
                <w:sz w:val="20"/>
                <w:szCs w:val="20"/>
              </w:rPr>
              <w:lastRenderedPageBreak/>
              <w:t>Zrezygnowano z treści  zaproponowanej w § 5</w:t>
            </w:r>
            <w:r>
              <w:rPr>
                <w:rFonts w:cs="Times New Roman"/>
                <w:b/>
                <w:bCs/>
                <w:sz w:val="20"/>
                <w:szCs w:val="20"/>
              </w:rPr>
              <w:t>.</w:t>
            </w:r>
          </w:p>
        </w:tc>
      </w:tr>
      <w:tr w:rsidR="007F33FA" w:rsidRPr="0088680A" w14:paraId="397D53C2" w14:textId="77777777" w:rsidTr="007F33FA">
        <w:trPr>
          <w:trHeight w:val="1098"/>
        </w:trPr>
        <w:tc>
          <w:tcPr>
            <w:tcW w:w="834" w:type="dxa"/>
          </w:tcPr>
          <w:p w14:paraId="74439F85" w14:textId="42B68259" w:rsidR="007F33FA" w:rsidRPr="0088680A" w:rsidRDefault="007F33FA" w:rsidP="004230D8">
            <w:pPr>
              <w:tabs>
                <w:tab w:val="left" w:pos="360"/>
              </w:tabs>
              <w:jc w:val="center"/>
              <w:rPr>
                <w:rFonts w:cs="Times New Roman"/>
                <w:sz w:val="20"/>
                <w:szCs w:val="20"/>
              </w:rPr>
            </w:pPr>
            <w:r w:rsidRPr="0088680A">
              <w:rPr>
                <w:rFonts w:cs="Times New Roman"/>
                <w:sz w:val="20"/>
                <w:szCs w:val="20"/>
              </w:rPr>
              <w:t>5</w:t>
            </w:r>
          </w:p>
        </w:tc>
        <w:tc>
          <w:tcPr>
            <w:tcW w:w="1566" w:type="dxa"/>
          </w:tcPr>
          <w:p w14:paraId="614BA501" w14:textId="4E4F72FC" w:rsidR="007F33FA" w:rsidRPr="0088680A" w:rsidRDefault="007F33FA" w:rsidP="00B94C86">
            <w:pPr>
              <w:jc w:val="center"/>
              <w:rPr>
                <w:rFonts w:cs="Times New Roman"/>
                <w:b/>
                <w:bCs/>
                <w:sz w:val="20"/>
                <w:szCs w:val="20"/>
              </w:rPr>
            </w:pPr>
            <w:r w:rsidRPr="0088680A">
              <w:rPr>
                <w:rFonts w:cs="Times New Roman"/>
                <w:b/>
                <w:bCs/>
                <w:sz w:val="20"/>
                <w:szCs w:val="20"/>
              </w:rPr>
              <w:t xml:space="preserve">Uwaga ogólna </w:t>
            </w:r>
          </w:p>
        </w:tc>
        <w:tc>
          <w:tcPr>
            <w:tcW w:w="2557" w:type="dxa"/>
          </w:tcPr>
          <w:p w14:paraId="17FB5F04" w14:textId="77777777" w:rsidR="007F33FA" w:rsidRPr="0088680A" w:rsidRDefault="007F33FA" w:rsidP="006B5B13">
            <w:pPr>
              <w:jc w:val="center"/>
              <w:rPr>
                <w:rFonts w:cs="Times New Roman"/>
                <w:b/>
                <w:bCs/>
                <w:sz w:val="20"/>
                <w:szCs w:val="20"/>
              </w:rPr>
            </w:pPr>
            <w:r w:rsidRPr="0088680A">
              <w:rPr>
                <w:rFonts w:cs="Times New Roman"/>
                <w:b/>
                <w:bCs/>
                <w:sz w:val="20"/>
                <w:szCs w:val="20"/>
              </w:rPr>
              <w:t>Konfederacja Lewiatan</w:t>
            </w:r>
          </w:p>
          <w:p w14:paraId="379E0B8F" w14:textId="77777777" w:rsidR="007F33FA" w:rsidRPr="0088680A" w:rsidRDefault="007F33FA" w:rsidP="004230D8">
            <w:pPr>
              <w:jc w:val="both"/>
              <w:rPr>
                <w:rFonts w:cs="Times New Roman"/>
                <w:b/>
                <w:bCs/>
                <w:sz w:val="20"/>
                <w:szCs w:val="20"/>
              </w:rPr>
            </w:pPr>
          </w:p>
        </w:tc>
        <w:tc>
          <w:tcPr>
            <w:tcW w:w="4677" w:type="dxa"/>
          </w:tcPr>
          <w:p w14:paraId="452E4956" w14:textId="4CDC7995" w:rsidR="007F33FA" w:rsidRPr="0088680A" w:rsidRDefault="00B15A83" w:rsidP="00844D68">
            <w:pPr>
              <w:pStyle w:val="NormalnyWeb"/>
              <w:shd w:val="clear" w:color="auto" w:fill="FFFFFF"/>
              <w:spacing w:before="0" w:beforeAutospacing="0"/>
              <w:jc w:val="both"/>
              <w:rPr>
                <w:sz w:val="20"/>
                <w:szCs w:val="20"/>
              </w:rPr>
            </w:pPr>
            <w:r w:rsidRPr="0088680A">
              <w:rPr>
                <w:sz w:val="20"/>
                <w:szCs w:val="20"/>
              </w:rPr>
              <w:t xml:space="preserve">Należy uzupełnić </w:t>
            </w:r>
            <w:r w:rsidR="007F33FA" w:rsidRPr="0088680A">
              <w:rPr>
                <w:sz w:val="20"/>
                <w:szCs w:val="20"/>
              </w:rPr>
              <w:t xml:space="preserve">proj. o uregulowania dot. terminów udostępniania pism w zakładce „moje doręczenia” tak, aby wyłączyć możliwość umieszczania pism w porze nocnej, w soboty oraz dni ustawowo wolne od pracy. Obecnie nie ma żadnych włączeń w zakresie umieszczania pism w </w:t>
            </w:r>
            <w:r w:rsidRPr="0088680A">
              <w:rPr>
                <w:sz w:val="20"/>
                <w:szCs w:val="20"/>
              </w:rPr>
              <w:t>PI</w:t>
            </w:r>
            <w:r w:rsidR="007F33FA" w:rsidRPr="0088680A">
              <w:rPr>
                <w:sz w:val="20"/>
                <w:szCs w:val="20"/>
              </w:rPr>
              <w:t xml:space="preserve">, dlatego też umieszczanie ich w porze nocnej lub w dni wolne od pracy jest częstą praktyką, co </w:t>
            </w:r>
            <w:r w:rsidR="007F33FA" w:rsidRPr="001B5D35">
              <w:rPr>
                <w:i/>
                <w:iCs/>
                <w:sz w:val="20"/>
                <w:szCs w:val="20"/>
              </w:rPr>
              <w:t>de facto</w:t>
            </w:r>
            <w:r w:rsidR="007F33FA" w:rsidRPr="0088680A">
              <w:rPr>
                <w:sz w:val="20"/>
                <w:szCs w:val="20"/>
              </w:rPr>
              <w:t xml:space="preserve"> skraca 14- dniowy termin przewidziany na odbiór pisma (jest on liczony od umieszczenia w portalu).</w:t>
            </w:r>
          </w:p>
        </w:tc>
        <w:tc>
          <w:tcPr>
            <w:tcW w:w="4675" w:type="dxa"/>
          </w:tcPr>
          <w:p w14:paraId="7A2B7AF4" w14:textId="77777777" w:rsidR="007F33FA" w:rsidRDefault="00201A4D" w:rsidP="004230D8">
            <w:pPr>
              <w:jc w:val="both"/>
              <w:rPr>
                <w:rFonts w:cs="Times New Roman"/>
                <w:b/>
                <w:bCs/>
                <w:sz w:val="20"/>
                <w:szCs w:val="20"/>
              </w:rPr>
            </w:pPr>
            <w:r>
              <w:rPr>
                <w:rFonts w:cs="Times New Roman"/>
                <w:b/>
                <w:bCs/>
                <w:sz w:val="20"/>
                <w:szCs w:val="20"/>
              </w:rPr>
              <w:t xml:space="preserve">Uwaga nieuwzględniona. </w:t>
            </w:r>
          </w:p>
          <w:p w14:paraId="1BC040A9" w14:textId="5474571C" w:rsidR="00201A4D" w:rsidRPr="0088680A" w:rsidRDefault="00201A4D" w:rsidP="00201A4D">
            <w:pPr>
              <w:jc w:val="both"/>
              <w:rPr>
                <w:rFonts w:cs="Times New Roman"/>
                <w:b/>
                <w:bCs/>
                <w:sz w:val="20"/>
                <w:szCs w:val="20"/>
              </w:rPr>
            </w:pPr>
            <w:r>
              <w:rPr>
                <w:rFonts w:cs="Times New Roman"/>
                <w:sz w:val="20"/>
                <w:szCs w:val="20"/>
              </w:rPr>
              <w:t>P</w:t>
            </w:r>
            <w:r w:rsidRPr="00201A4D">
              <w:rPr>
                <w:rFonts w:cs="Times New Roman"/>
                <w:sz w:val="20"/>
                <w:szCs w:val="20"/>
              </w:rPr>
              <w:t>o pierwsze w zakresie doręczenia świadomie został wyłączony art. 134</w:t>
            </w:r>
            <w:r>
              <w:rPr>
                <w:rFonts w:cs="Times New Roman"/>
                <w:sz w:val="20"/>
                <w:szCs w:val="20"/>
              </w:rPr>
              <w:t xml:space="preserve"> k.p.c.</w:t>
            </w:r>
            <w:r w:rsidRPr="00201A4D">
              <w:rPr>
                <w:rFonts w:cs="Times New Roman"/>
                <w:sz w:val="20"/>
                <w:szCs w:val="20"/>
              </w:rPr>
              <w:t xml:space="preserve">, po drugie udostępnienie w celu doręczenia - tu adresat decyduje o momencie doręczenia, po trzecie jest to technicznie uzasadnione, </w:t>
            </w:r>
            <w:r>
              <w:rPr>
                <w:rFonts w:cs="Times New Roman"/>
                <w:sz w:val="20"/>
                <w:szCs w:val="20"/>
              </w:rPr>
              <w:t>gdyż</w:t>
            </w:r>
            <w:r w:rsidRPr="00201A4D">
              <w:rPr>
                <w:rFonts w:cs="Times New Roman"/>
                <w:sz w:val="20"/>
                <w:szCs w:val="20"/>
              </w:rPr>
              <w:t xml:space="preserve"> migracja odbywa się według kolejki po 15:30 i trwa również w nocy, po czwarte art. 134 </w:t>
            </w:r>
            <w:r>
              <w:rPr>
                <w:rFonts w:cs="Times New Roman"/>
                <w:sz w:val="20"/>
                <w:szCs w:val="20"/>
              </w:rPr>
              <w:t xml:space="preserve">k.p.c. </w:t>
            </w:r>
            <w:r w:rsidRPr="00201A4D">
              <w:rPr>
                <w:rFonts w:cs="Times New Roman"/>
                <w:sz w:val="20"/>
                <w:szCs w:val="20"/>
              </w:rPr>
              <w:t>chronił mir domowy, który w przypadku systemu teleinformatycznego nie ma zastosowania. Ponadto umieszczenie doręczenia w weekendy nie skraca terminów, tylko je wydłuża (bo ostatni dzień wypada w dzień wolny od pracy).</w:t>
            </w:r>
            <w:r>
              <w:rPr>
                <w:rFonts w:cs="Times New Roman"/>
                <w:sz w:val="20"/>
                <w:szCs w:val="20"/>
              </w:rPr>
              <w:t xml:space="preserve"> </w:t>
            </w:r>
            <w:r w:rsidRPr="00201A4D">
              <w:rPr>
                <w:rFonts w:cs="Times New Roman"/>
                <w:sz w:val="20"/>
                <w:szCs w:val="20"/>
              </w:rPr>
              <w:t>Natomiast najważniejsze, że migracja nie jest możliwa w godzinach pracy sądów. Inne systemy działają w analogiczny sposób, nie ma uzasadnienia dla wprowadzania przepisów szczególnych.</w:t>
            </w:r>
          </w:p>
        </w:tc>
      </w:tr>
    </w:tbl>
    <w:p w14:paraId="4207EFE1" w14:textId="7B264814" w:rsidR="003D611E" w:rsidRPr="0088680A" w:rsidRDefault="003D611E">
      <w:pPr>
        <w:rPr>
          <w:rFonts w:cs="Times New Roman"/>
          <w:sz w:val="20"/>
          <w:szCs w:val="20"/>
        </w:rPr>
      </w:pPr>
    </w:p>
    <w:p w14:paraId="2C0B94C5" w14:textId="44B1D8A8" w:rsidR="002F7E4B" w:rsidRPr="0088680A" w:rsidRDefault="002F7E4B">
      <w:pPr>
        <w:rPr>
          <w:rFonts w:cs="Times New Roman"/>
          <w:sz w:val="20"/>
          <w:szCs w:val="20"/>
        </w:rPr>
      </w:pPr>
    </w:p>
    <w:sectPr w:rsidR="002F7E4B" w:rsidRPr="0088680A" w:rsidSect="00030969">
      <w:footerReference w:type="default" r:id="rId7"/>
      <w:pgSz w:w="16838" w:h="11906" w:orient="landscape"/>
      <w:pgMar w:top="142"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4DEDAC" w14:textId="77777777" w:rsidR="00030969" w:rsidRDefault="00030969" w:rsidP="00C57AB0">
      <w:pPr>
        <w:spacing w:after="0" w:line="240" w:lineRule="auto"/>
      </w:pPr>
      <w:r>
        <w:separator/>
      </w:r>
    </w:p>
  </w:endnote>
  <w:endnote w:type="continuationSeparator" w:id="0">
    <w:p w14:paraId="434E9F3B" w14:textId="77777777" w:rsidR="00030969" w:rsidRDefault="00030969" w:rsidP="00C57A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7660672"/>
      <w:docPartObj>
        <w:docPartGallery w:val="Page Numbers (Bottom of Page)"/>
        <w:docPartUnique/>
      </w:docPartObj>
    </w:sdtPr>
    <w:sdtContent>
      <w:p w14:paraId="6824481D" w14:textId="47225BBD" w:rsidR="00C57AB0" w:rsidRDefault="00C57AB0">
        <w:pPr>
          <w:pStyle w:val="Stopka"/>
          <w:jc w:val="center"/>
        </w:pPr>
        <w:r>
          <w:fldChar w:fldCharType="begin"/>
        </w:r>
        <w:r>
          <w:instrText>PAGE   \* MERGEFORMAT</w:instrText>
        </w:r>
        <w:r>
          <w:fldChar w:fldCharType="separate"/>
        </w:r>
        <w:r>
          <w:t>2</w:t>
        </w:r>
        <w:r>
          <w:fldChar w:fldCharType="end"/>
        </w:r>
      </w:p>
    </w:sdtContent>
  </w:sdt>
  <w:p w14:paraId="51E686EB" w14:textId="77777777" w:rsidR="00C57AB0" w:rsidRDefault="00C57AB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3BFDB0" w14:textId="77777777" w:rsidR="00030969" w:rsidRDefault="00030969" w:rsidP="00C57AB0">
      <w:pPr>
        <w:spacing w:after="0" w:line="240" w:lineRule="auto"/>
      </w:pPr>
      <w:r>
        <w:separator/>
      </w:r>
    </w:p>
  </w:footnote>
  <w:footnote w:type="continuationSeparator" w:id="0">
    <w:p w14:paraId="6C528BFC" w14:textId="77777777" w:rsidR="00030969" w:rsidRDefault="00030969" w:rsidP="00C57AB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003F"/>
    <w:rsid w:val="00030969"/>
    <w:rsid w:val="00030EE1"/>
    <w:rsid w:val="00030FED"/>
    <w:rsid w:val="00031DC3"/>
    <w:rsid w:val="0004003F"/>
    <w:rsid w:val="000435FB"/>
    <w:rsid w:val="000E5E20"/>
    <w:rsid w:val="000F7C31"/>
    <w:rsid w:val="00110FBE"/>
    <w:rsid w:val="001174FF"/>
    <w:rsid w:val="00142A32"/>
    <w:rsid w:val="001561D9"/>
    <w:rsid w:val="00162230"/>
    <w:rsid w:val="00184BD3"/>
    <w:rsid w:val="001B5D35"/>
    <w:rsid w:val="001C79B2"/>
    <w:rsid w:val="001D2343"/>
    <w:rsid w:val="001D7CA8"/>
    <w:rsid w:val="001E5209"/>
    <w:rsid w:val="001E7E9B"/>
    <w:rsid w:val="001F3DF9"/>
    <w:rsid w:val="00201A4D"/>
    <w:rsid w:val="00214A8C"/>
    <w:rsid w:val="00243FC4"/>
    <w:rsid w:val="00254EA8"/>
    <w:rsid w:val="00283F22"/>
    <w:rsid w:val="002A0C4D"/>
    <w:rsid w:val="002A1A97"/>
    <w:rsid w:val="002B284E"/>
    <w:rsid w:val="002B34AE"/>
    <w:rsid w:val="002C5C24"/>
    <w:rsid w:val="002D1950"/>
    <w:rsid w:val="002D7FE1"/>
    <w:rsid w:val="002E0BC6"/>
    <w:rsid w:val="002E5D52"/>
    <w:rsid w:val="002F7E4B"/>
    <w:rsid w:val="00303C4F"/>
    <w:rsid w:val="00303FB1"/>
    <w:rsid w:val="00312AB5"/>
    <w:rsid w:val="00315A09"/>
    <w:rsid w:val="00322C71"/>
    <w:rsid w:val="00383674"/>
    <w:rsid w:val="003C7F55"/>
    <w:rsid w:val="003D138E"/>
    <w:rsid w:val="003D1ECC"/>
    <w:rsid w:val="003D3FFB"/>
    <w:rsid w:val="003D611E"/>
    <w:rsid w:val="003D6133"/>
    <w:rsid w:val="003D72FE"/>
    <w:rsid w:val="003E2AD5"/>
    <w:rsid w:val="003E58B6"/>
    <w:rsid w:val="00405A5D"/>
    <w:rsid w:val="00415CD9"/>
    <w:rsid w:val="00416510"/>
    <w:rsid w:val="004230D8"/>
    <w:rsid w:val="00445E45"/>
    <w:rsid w:val="00460B16"/>
    <w:rsid w:val="00463BE3"/>
    <w:rsid w:val="00465149"/>
    <w:rsid w:val="00482379"/>
    <w:rsid w:val="004C3A22"/>
    <w:rsid w:val="004E296E"/>
    <w:rsid w:val="0050635C"/>
    <w:rsid w:val="00520EBD"/>
    <w:rsid w:val="00534571"/>
    <w:rsid w:val="005428D9"/>
    <w:rsid w:val="00542990"/>
    <w:rsid w:val="00543EF6"/>
    <w:rsid w:val="00555D8E"/>
    <w:rsid w:val="0055737F"/>
    <w:rsid w:val="00560BD1"/>
    <w:rsid w:val="00561243"/>
    <w:rsid w:val="00583572"/>
    <w:rsid w:val="005B285B"/>
    <w:rsid w:val="005C2B12"/>
    <w:rsid w:val="005C6E1E"/>
    <w:rsid w:val="005D7320"/>
    <w:rsid w:val="005F7B97"/>
    <w:rsid w:val="00605483"/>
    <w:rsid w:val="0061513B"/>
    <w:rsid w:val="00667ABC"/>
    <w:rsid w:val="006848AC"/>
    <w:rsid w:val="00692E69"/>
    <w:rsid w:val="006B5B13"/>
    <w:rsid w:val="006E2F61"/>
    <w:rsid w:val="006F253F"/>
    <w:rsid w:val="006F3DBE"/>
    <w:rsid w:val="006F5FC8"/>
    <w:rsid w:val="00700D15"/>
    <w:rsid w:val="007116C2"/>
    <w:rsid w:val="00736E9A"/>
    <w:rsid w:val="00741D8D"/>
    <w:rsid w:val="00755C7F"/>
    <w:rsid w:val="007B7DEC"/>
    <w:rsid w:val="007D7353"/>
    <w:rsid w:val="007F33FA"/>
    <w:rsid w:val="007F66D7"/>
    <w:rsid w:val="00803BE0"/>
    <w:rsid w:val="00826F51"/>
    <w:rsid w:val="00844D68"/>
    <w:rsid w:val="00847E56"/>
    <w:rsid w:val="00861C0E"/>
    <w:rsid w:val="00870489"/>
    <w:rsid w:val="008707D8"/>
    <w:rsid w:val="00874170"/>
    <w:rsid w:val="00875303"/>
    <w:rsid w:val="0088680A"/>
    <w:rsid w:val="008A16DE"/>
    <w:rsid w:val="008A6070"/>
    <w:rsid w:val="008C52F6"/>
    <w:rsid w:val="008C5479"/>
    <w:rsid w:val="008D26D5"/>
    <w:rsid w:val="008D4C70"/>
    <w:rsid w:val="008F2D38"/>
    <w:rsid w:val="008F5334"/>
    <w:rsid w:val="009146B7"/>
    <w:rsid w:val="00931844"/>
    <w:rsid w:val="00965F9C"/>
    <w:rsid w:val="00986C32"/>
    <w:rsid w:val="00995428"/>
    <w:rsid w:val="009B601C"/>
    <w:rsid w:val="009B6766"/>
    <w:rsid w:val="009D4CE2"/>
    <w:rsid w:val="00A01459"/>
    <w:rsid w:val="00A10E90"/>
    <w:rsid w:val="00A3692D"/>
    <w:rsid w:val="00A568BD"/>
    <w:rsid w:val="00A80327"/>
    <w:rsid w:val="00AB7CFD"/>
    <w:rsid w:val="00AF19DC"/>
    <w:rsid w:val="00AF26D3"/>
    <w:rsid w:val="00B15A83"/>
    <w:rsid w:val="00B42143"/>
    <w:rsid w:val="00B609F3"/>
    <w:rsid w:val="00B62148"/>
    <w:rsid w:val="00B848BD"/>
    <w:rsid w:val="00B94C86"/>
    <w:rsid w:val="00B96516"/>
    <w:rsid w:val="00BB2EF3"/>
    <w:rsid w:val="00BB355C"/>
    <w:rsid w:val="00BD6EFF"/>
    <w:rsid w:val="00C12F2A"/>
    <w:rsid w:val="00C31B9A"/>
    <w:rsid w:val="00C45BAF"/>
    <w:rsid w:val="00C57AB0"/>
    <w:rsid w:val="00C669E1"/>
    <w:rsid w:val="00C8146D"/>
    <w:rsid w:val="00C8298F"/>
    <w:rsid w:val="00C9552F"/>
    <w:rsid w:val="00CA47F5"/>
    <w:rsid w:val="00CE6F19"/>
    <w:rsid w:val="00CF7263"/>
    <w:rsid w:val="00D14F03"/>
    <w:rsid w:val="00D404FA"/>
    <w:rsid w:val="00D713DF"/>
    <w:rsid w:val="00D95734"/>
    <w:rsid w:val="00DC0F12"/>
    <w:rsid w:val="00DC4864"/>
    <w:rsid w:val="00E10717"/>
    <w:rsid w:val="00E21D01"/>
    <w:rsid w:val="00E43560"/>
    <w:rsid w:val="00E53684"/>
    <w:rsid w:val="00E67EF7"/>
    <w:rsid w:val="00E800A5"/>
    <w:rsid w:val="00E85CF3"/>
    <w:rsid w:val="00EF7791"/>
    <w:rsid w:val="00F01B47"/>
    <w:rsid w:val="00F05420"/>
    <w:rsid w:val="00F06057"/>
    <w:rsid w:val="00F317A5"/>
    <w:rsid w:val="00F37A15"/>
    <w:rsid w:val="00F46BCC"/>
    <w:rsid w:val="00F53925"/>
    <w:rsid w:val="00F56E87"/>
    <w:rsid w:val="00F648EC"/>
    <w:rsid w:val="00F71C98"/>
    <w:rsid w:val="00F74618"/>
    <w:rsid w:val="00F85803"/>
    <w:rsid w:val="00FC0031"/>
    <w:rsid w:val="00FC5AE6"/>
    <w:rsid w:val="00FD2A59"/>
    <w:rsid w:val="00FF0B6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A8CEC8"/>
  <w15:docId w15:val="{8288117C-B48E-4FA6-B689-88D933D2A7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4003F"/>
    <w:rPr>
      <w:rFonts w:ascii="Times New Roman" w:hAnsi="Times New Roman"/>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0400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04003F"/>
    <w:pPr>
      <w:ind w:left="720"/>
      <w:contextualSpacing/>
    </w:pPr>
  </w:style>
  <w:style w:type="character" w:customStyle="1" w:styleId="FontStyle42">
    <w:name w:val="Font Style42"/>
    <w:basedOn w:val="Domylnaczcionkaakapitu"/>
    <w:uiPriority w:val="99"/>
    <w:rsid w:val="0004003F"/>
    <w:rPr>
      <w:rFonts w:ascii="Times New Roman" w:hAnsi="Times New Roman" w:cs="Times New Roman"/>
      <w:sz w:val="22"/>
      <w:szCs w:val="22"/>
    </w:rPr>
  </w:style>
  <w:style w:type="paragraph" w:customStyle="1" w:styleId="Style9">
    <w:name w:val="Style9"/>
    <w:basedOn w:val="Normalny"/>
    <w:uiPriority w:val="99"/>
    <w:rsid w:val="0004003F"/>
    <w:pPr>
      <w:widowControl w:val="0"/>
      <w:autoSpaceDE w:val="0"/>
      <w:autoSpaceDN w:val="0"/>
      <w:adjustRightInd w:val="0"/>
      <w:spacing w:after="0" w:line="415" w:lineRule="exact"/>
      <w:jc w:val="both"/>
    </w:pPr>
    <w:rPr>
      <w:rFonts w:eastAsiaTheme="minorEastAsia" w:cs="Times New Roman"/>
      <w:szCs w:val="24"/>
      <w:lang w:eastAsia="pl-PL"/>
    </w:rPr>
  </w:style>
  <w:style w:type="paragraph" w:customStyle="1" w:styleId="Style7">
    <w:name w:val="Style7"/>
    <w:basedOn w:val="Normalny"/>
    <w:uiPriority w:val="99"/>
    <w:rsid w:val="0004003F"/>
    <w:pPr>
      <w:widowControl w:val="0"/>
      <w:autoSpaceDE w:val="0"/>
      <w:autoSpaceDN w:val="0"/>
      <w:adjustRightInd w:val="0"/>
      <w:spacing w:after="0" w:line="387" w:lineRule="exact"/>
      <w:jc w:val="both"/>
    </w:pPr>
    <w:rPr>
      <w:rFonts w:ascii="Cambria" w:eastAsiaTheme="minorEastAsia" w:hAnsi="Cambria"/>
      <w:szCs w:val="24"/>
      <w:lang w:eastAsia="pl-PL"/>
    </w:rPr>
  </w:style>
  <w:style w:type="paragraph" w:customStyle="1" w:styleId="Style3">
    <w:name w:val="Style3"/>
    <w:basedOn w:val="Normalny"/>
    <w:uiPriority w:val="99"/>
    <w:rsid w:val="0004003F"/>
    <w:pPr>
      <w:widowControl w:val="0"/>
      <w:autoSpaceDE w:val="0"/>
      <w:autoSpaceDN w:val="0"/>
      <w:adjustRightInd w:val="0"/>
      <w:spacing w:after="0" w:line="386" w:lineRule="exact"/>
      <w:jc w:val="both"/>
    </w:pPr>
    <w:rPr>
      <w:rFonts w:ascii="Cambria" w:eastAsiaTheme="minorEastAsia" w:hAnsi="Cambria"/>
      <w:szCs w:val="24"/>
      <w:lang w:eastAsia="pl-PL"/>
    </w:rPr>
  </w:style>
  <w:style w:type="paragraph" w:customStyle="1" w:styleId="Style8">
    <w:name w:val="Style8"/>
    <w:basedOn w:val="Normalny"/>
    <w:uiPriority w:val="99"/>
    <w:rsid w:val="0004003F"/>
    <w:pPr>
      <w:widowControl w:val="0"/>
      <w:autoSpaceDE w:val="0"/>
      <w:autoSpaceDN w:val="0"/>
      <w:adjustRightInd w:val="0"/>
      <w:spacing w:after="0" w:line="386" w:lineRule="exact"/>
      <w:ind w:firstLine="710"/>
      <w:jc w:val="both"/>
    </w:pPr>
    <w:rPr>
      <w:rFonts w:ascii="Cambria" w:eastAsiaTheme="minorEastAsia" w:hAnsi="Cambria"/>
      <w:szCs w:val="24"/>
      <w:lang w:eastAsia="pl-PL"/>
    </w:rPr>
  </w:style>
  <w:style w:type="paragraph" w:customStyle="1" w:styleId="Style1">
    <w:name w:val="Style1"/>
    <w:basedOn w:val="Normalny"/>
    <w:uiPriority w:val="99"/>
    <w:rsid w:val="0004003F"/>
    <w:pPr>
      <w:widowControl w:val="0"/>
      <w:autoSpaceDE w:val="0"/>
      <w:autoSpaceDN w:val="0"/>
      <w:adjustRightInd w:val="0"/>
      <w:spacing w:after="0" w:line="316" w:lineRule="exact"/>
    </w:pPr>
    <w:rPr>
      <w:rFonts w:ascii="Calibri" w:eastAsiaTheme="minorEastAsia" w:hAnsi="Calibri" w:cs="Calibri"/>
      <w:szCs w:val="24"/>
      <w:lang w:eastAsia="pl-PL"/>
    </w:rPr>
  </w:style>
  <w:style w:type="character" w:styleId="Odwoaniedokomentarza">
    <w:name w:val="annotation reference"/>
    <w:basedOn w:val="Domylnaczcionkaakapitu"/>
    <w:uiPriority w:val="99"/>
    <w:semiHidden/>
    <w:unhideWhenUsed/>
    <w:rsid w:val="00445E45"/>
    <w:rPr>
      <w:sz w:val="16"/>
      <w:szCs w:val="16"/>
    </w:rPr>
  </w:style>
  <w:style w:type="paragraph" w:styleId="Tekstkomentarza">
    <w:name w:val="annotation text"/>
    <w:basedOn w:val="Normalny"/>
    <w:link w:val="TekstkomentarzaZnak"/>
    <w:uiPriority w:val="99"/>
    <w:unhideWhenUsed/>
    <w:rsid w:val="00445E45"/>
    <w:pPr>
      <w:spacing w:line="240" w:lineRule="auto"/>
    </w:pPr>
    <w:rPr>
      <w:sz w:val="20"/>
      <w:szCs w:val="20"/>
    </w:rPr>
  </w:style>
  <w:style w:type="character" w:customStyle="1" w:styleId="TekstkomentarzaZnak">
    <w:name w:val="Tekst komentarza Znak"/>
    <w:basedOn w:val="Domylnaczcionkaakapitu"/>
    <w:link w:val="Tekstkomentarza"/>
    <w:uiPriority w:val="99"/>
    <w:rsid w:val="00445E45"/>
    <w:rPr>
      <w:rFonts w:ascii="Times New Roman" w:hAnsi="Times New Roman"/>
      <w:sz w:val="20"/>
      <w:szCs w:val="20"/>
    </w:rPr>
  </w:style>
  <w:style w:type="paragraph" w:styleId="Tematkomentarza">
    <w:name w:val="annotation subject"/>
    <w:basedOn w:val="Tekstkomentarza"/>
    <w:next w:val="Tekstkomentarza"/>
    <w:link w:val="TematkomentarzaZnak"/>
    <w:uiPriority w:val="99"/>
    <w:semiHidden/>
    <w:unhideWhenUsed/>
    <w:rsid w:val="00445E45"/>
    <w:rPr>
      <w:b/>
      <w:bCs/>
    </w:rPr>
  </w:style>
  <w:style w:type="character" w:customStyle="1" w:styleId="TematkomentarzaZnak">
    <w:name w:val="Temat komentarza Znak"/>
    <w:basedOn w:val="TekstkomentarzaZnak"/>
    <w:link w:val="Tematkomentarza"/>
    <w:uiPriority w:val="99"/>
    <w:semiHidden/>
    <w:rsid w:val="00445E45"/>
    <w:rPr>
      <w:rFonts w:ascii="Times New Roman" w:hAnsi="Times New Roman"/>
      <w:b/>
      <w:bCs/>
      <w:sz w:val="20"/>
      <w:szCs w:val="20"/>
    </w:rPr>
  </w:style>
  <w:style w:type="paragraph" w:styleId="Poprawka">
    <w:name w:val="Revision"/>
    <w:hidden/>
    <w:uiPriority w:val="99"/>
    <w:semiHidden/>
    <w:rsid w:val="00870489"/>
    <w:pPr>
      <w:spacing w:after="0" w:line="240" w:lineRule="auto"/>
    </w:pPr>
    <w:rPr>
      <w:rFonts w:ascii="Times New Roman" w:hAnsi="Times New Roman"/>
      <w:sz w:val="24"/>
    </w:rPr>
  </w:style>
  <w:style w:type="paragraph" w:styleId="Tekstdymka">
    <w:name w:val="Balloon Text"/>
    <w:basedOn w:val="Normalny"/>
    <w:link w:val="TekstdymkaZnak"/>
    <w:uiPriority w:val="99"/>
    <w:semiHidden/>
    <w:unhideWhenUsed/>
    <w:rsid w:val="0061513B"/>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61513B"/>
    <w:rPr>
      <w:rFonts w:ascii="Segoe UI" w:hAnsi="Segoe UI" w:cs="Segoe UI"/>
      <w:sz w:val="18"/>
      <w:szCs w:val="18"/>
    </w:rPr>
  </w:style>
  <w:style w:type="paragraph" w:customStyle="1" w:styleId="pf0">
    <w:name w:val="pf0"/>
    <w:basedOn w:val="Normalny"/>
    <w:rsid w:val="003D72FE"/>
    <w:pPr>
      <w:spacing w:before="100" w:beforeAutospacing="1" w:after="100" w:afterAutospacing="1" w:line="240" w:lineRule="auto"/>
    </w:pPr>
    <w:rPr>
      <w:rFonts w:eastAsia="Times New Roman" w:cs="Times New Roman"/>
      <w:szCs w:val="24"/>
      <w:lang w:eastAsia="pl-PL"/>
    </w:rPr>
  </w:style>
  <w:style w:type="character" w:customStyle="1" w:styleId="cf01">
    <w:name w:val="cf01"/>
    <w:basedOn w:val="Domylnaczcionkaakapitu"/>
    <w:rsid w:val="003D72FE"/>
    <w:rPr>
      <w:rFonts w:ascii="Segoe UI" w:hAnsi="Segoe UI" w:cs="Segoe UI" w:hint="default"/>
      <w:sz w:val="18"/>
      <w:szCs w:val="18"/>
    </w:rPr>
  </w:style>
  <w:style w:type="paragraph" w:styleId="NormalnyWeb">
    <w:name w:val="Normal (Web)"/>
    <w:basedOn w:val="Normalny"/>
    <w:uiPriority w:val="99"/>
    <w:unhideWhenUsed/>
    <w:rsid w:val="004230D8"/>
    <w:pPr>
      <w:spacing w:before="100" w:beforeAutospacing="1" w:after="100" w:afterAutospacing="1" w:line="240" w:lineRule="auto"/>
    </w:pPr>
    <w:rPr>
      <w:rFonts w:eastAsia="Times New Roman" w:cs="Times New Roman"/>
      <w:szCs w:val="24"/>
      <w:lang w:eastAsia="pl-PL"/>
    </w:rPr>
  </w:style>
  <w:style w:type="paragraph" w:styleId="Tekstpodstawowy">
    <w:name w:val="Body Text"/>
    <w:basedOn w:val="Normalny"/>
    <w:link w:val="TekstpodstawowyZnak"/>
    <w:semiHidden/>
    <w:unhideWhenUsed/>
    <w:rsid w:val="00283F22"/>
    <w:pPr>
      <w:spacing w:after="0" w:line="240" w:lineRule="auto"/>
      <w:jc w:val="both"/>
    </w:pPr>
    <w:rPr>
      <w:rFonts w:eastAsia="Times New Roman" w:cs="Times New Roman"/>
      <w:color w:val="000000"/>
      <w:szCs w:val="20"/>
      <w:lang w:eastAsia="pl-PL"/>
    </w:rPr>
  </w:style>
  <w:style w:type="character" w:customStyle="1" w:styleId="TekstpodstawowyZnak">
    <w:name w:val="Tekst podstawowy Znak"/>
    <w:basedOn w:val="Domylnaczcionkaakapitu"/>
    <w:link w:val="Tekstpodstawowy"/>
    <w:semiHidden/>
    <w:rsid w:val="00283F22"/>
    <w:rPr>
      <w:rFonts w:ascii="Times New Roman" w:eastAsia="Times New Roman" w:hAnsi="Times New Roman" w:cs="Times New Roman"/>
      <w:color w:val="000000"/>
      <w:sz w:val="24"/>
      <w:szCs w:val="20"/>
      <w:lang w:eastAsia="pl-PL"/>
    </w:rPr>
  </w:style>
  <w:style w:type="character" w:styleId="Hipercze">
    <w:name w:val="Hyperlink"/>
    <w:basedOn w:val="Domylnaczcionkaakapitu"/>
    <w:uiPriority w:val="99"/>
    <w:unhideWhenUsed/>
    <w:rsid w:val="002D1950"/>
    <w:rPr>
      <w:color w:val="0563C1" w:themeColor="hyperlink"/>
      <w:u w:val="single"/>
    </w:rPr>
  </w:style>
  <w:style w:type="character" w:styleId="Nierozpoznanawzmianka">
    <w:name w:val="Unresolved Mention"/>
    <w:basedOn w:val="Domylnaczcionkaakapitu"/>
    <w:uiPriority w:val="99"/>
    <w:semiHidden/>
    <w:unhideWhenUsed/>
    <w:rsid w:val="002D1950"/>
    <w:rPr>
      <w:color w:val="605E5C"/>
      <w:shd w:val="clear" w:color="auto" w:fill="E1DFDD"/>
    </w:rPr>
  </w:style>
  <w:style w:type="paragraph" w:styleId="Nagwek">
    <w:name w:val="header"/>
    <w:basedOn w:val="Normalny"/>
    <w:link w:val="NagwekZnak"/>
    <w:uiPriority w:val="99"/>
    <w:unhideWhenUsed/>
    <w:rsid w:val="00C57AB0"/>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57AB0"/>
    <w:rPr>
      <w:rFonts w:ascii="Times New Roman" w:hAnsi="Times New Roman"/>
      <w:sz w:val="24"/>
    </w:rPr>
  </w:style>
  <w:style w:type="paragraph" w:styleId="Stopka">
    <w:name w:val="footer"/>
    <w:basedOn w:val="Normalny"/>
    <w:link w:val="StopkaZnak"/>
    <w:uiPriority w:val="99"/>
    <w:unhideWhenUsed/>
    <w:rsid w:val="00C57AB0"/>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57AB0"/>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2572325">
      <w:bodyDiv w:val="1"/>
      <w:marLeft w:val="0"/>
      <w:marRight w:val="0"/>
      <w:marTop w:val="0"/>
      <w:marBottom w:val="0"/>
      <w:divBdr>
        <w:top w:val="none" w:sz="0" w:space="0" w:color="auto"/>
        <w:left w:val="none" w:sz="0" w:space="0" w:color="auto"/>
        <w:bottom w:val="none" w:sz="0" w:space="0" w:color="auto"/>
        <w:right w:val="none" w:sz="0" w:space="0" w:color="auto"/>
      </w:divBdr>
      <w:divsChild>
        <w:div w:id="2124960130">
          <w:marLeft w:val="0"/>
          <w:marRight w:val="0"/>
          <w:marTop w:val="150"/>
          <w:marBottom w:val="168"/>
          <w:divBdr>
            <w:top w:val="none" w:sz="0" w:space="0" w:color="auto"/>
            <w:left w:val="none" w:sz="0" w:space="0" w:color="auto"/>
            <w:bottom w:val="none" w:sz="0" w:space="0" w:color="auto"/>
            <w:right w:val="none" w:sz="0" w:space="0" w:color="auto"/>
          </w:divBdr>
        </w:div>
        <w:div w:id="578752416">
          <w:marLeft w:val="0"/>
          <w:marRight w:val="0"/>
          <w:marTop w:val="0"/>
          <w:marBottom w:val="0"/>
          <w:divBdr>
            <w:top w:val="none" w:sz="0" w:space="0" w:color="auto"/>
            <w:left w:val="none" w:sz="0" w:space="0" w:color="auto"/>
            <w:bottom w:val="none" w:sz="0" w:space="0" w:color="auto"/>
            <w:right w:val="none" w:sz="0" w:space="0" w:color="auto"/>
          </w:divBdr>
          <w:divsChild>
            <w:div w:id="269357782">
              <w:marLeft w:val="0"/>
              <w:marRight w:val="0"/>
              <w:marTop w:val="105"/>
              <w:marBottom w:val="0"/>
              <w:divBdr>
                <w:top w:val="none" w:sz="0" w:space="0" w:color="auto"/>
                <w:left w:val="none" w:sz="0" w:space="0" w:color="auto"/>
                <w:bottom w:val="none" w:sz="0" w:space="0" w:color="auto"/>
                <w:right w:val="none" w:sz="0" w:space="0" w:color="auto"/>
              </w:divBdr>
            </w:div>
          </w:divsChild>
        </w:div>
      </w:divsChild>
    </w:div>
    <w:div w:id="212080124">
      <w:bodyDiv w:val="1"/>
      <w:marLeft w:val="0"/>
      <w:marRight w:val="0"/>
      <w:marTop w:val="0"/>
      <w:marBottom w:val="0"/>
      <w:divBdr>
        <w:top w:val="none" w:sz="0" w:space="0" w:color="auto"/>
        <w:left w:val="none" w:sz="0" w:space="0" w:color="auto"/>
        <w:bottom w:val="none" w:sz="0" w:space="0" w:color="auto"/>
        <w:right w:val="none" w:sz="0" w:space="0" w:color="auto"/>
      </w:divBdr>
    </w:div>
    <w:div w:id="540476403">
      <w:bodyDiv w:val="1"/>
      <w:marLeft w:val="0"/>
      <w:marRight w:val="0"/>
      <w:marTop w:val="0"/>
      <w:marBottom w:val="0"/>
      <w:divBdr>
        <w:top w:val="none" w:sz="0" w:space="0" w:color="auto"/>
        <w:left w:val="none" w:sz="0" w:space="0" w:color="auto"/>
        <w:bottom w:val="none" w:sz="0" w:space="0" w:color="auto"/>
        <w:right w:val="none" w:sz="0" w:space="0" w:color="auto"/>
      </w:divBdr>
    </w:div>
    <w:div w:id="613706153">
      <w:bodyDiv w:val="1"/>
      <w:marLeft w:val="0"/>
      <w:marRight w:val="0"/>
      <w:marTop w:val="0"/>
      <w:marBottom w:val="0"/>
      <w:divBdr>
        <w:top w:val="none" w:sz="0" w:space="0" w:color="auto"/>
        <w:left w:val="none" w:sz="0" w:space="0" w:color="auto"/>
        <w:bottom w:val="none" w:sz="0" w:space="0" w:color="auto"/>
        <w:right w:val="none" w:sz="0" w:space="0" w:color="auto"/>
      </w:divBdr>
    </w:div>
    <w:div w:id="704909050">
      <w:bodyDiv w:val="1"/>
      <w:marLeft w:val="0"/>
      <w:marRight w:val="0"/>
      <w:marTop w:val="0"/>
      <w:marBottom w:val="0"/>
      <w:divBdr>
        <w:top w:val="none" w:sz="0" w:space="0" w:color="auto"/>
        <w:left w:val="none" w:sz="0" w:space="0" w:color="auto"/>
        <w:bottom w:val="none" w:sz="0" w:space="0" w:color="auto"/>
        <w:right w:val="none" w:sz="0" w:space="0" w:color="auto"/>
      </w:divBdr>
    </w:div>
    <w:div w:id="816382270">
      <w:bodyDiv w:val="1"/>
      <w:marLeft w:val="0"/>
      <w:marRight w:val="0"/>
      <w:marTop w:val="0"/>
      <w:marBottom w:val="0"/>
      <w:divBdr>
        <w:top w:val="none" w:sz="0" w:space="0" w:color="auto"/>
        <w:left w:val="none" w:sz="0" w:space="0" w:color="auto"/>
        <w:bottom w:val="none" w:sz="0" w:space="0" w:color="auto"/>
        <w:right w:val="none" w:sz="0" w:space="0" w:color="auto"/>
      </w:divBdr>
    </w:div>
    <w:div w:id="1062873860">
      <w:bodyDiv w:val="1"/>
      <w:marLeft w:val="0"/>
      <w:marRight w:val="0"/>
      <w:marTop w:val="0"/>
      <w:marBottom w:val="0"/>
      <w:divBdr>
        <w:top w:val="none" w:sz="0" w:space="0" w:color="auto"/>
        <w:left w:val="none" w:sz="0" w:space="0" w:color="auto"/>
        <w:bottom w:val="none" w:sz="0" w:space="0" w:color="auto"/>
        <w:right w:val="none" w:sz="0" w:space="0" w:color="auto"/>
      </w:divBdr>
    </w:div>
    <w:div w:id="1088815756">
      <w:bodyDiv w:val="1"/>
      <w:marLeft w:val="0"/>
      <w:marRight w:val="0"/>
      <w:marTop w:val="0"/>
      <w:marBottom w:val="0"/>
      <w:divBdr>
        <w:top w:val="none" w:sz="0" w:space="0" w:color="auto"/>
        <w:left w:val="none" w:sz="0" w:space="0" w:color="auto"/>
        <w:bottom w:val="none" w:sz="0" w:space="0" w:color="auto"/>
        <w:right w:val="none" w:sz="0" w:space="0" w:color="auto"/>
      </w:divBdr>
    </w:div>
    <w:div w:id="1115638791">
      <w:bodyDiv w:val="1"/>
      <w:marLeft w:val="0"/>
      <w:marRight w:val="0"/>
      <w:marTop w:val="0"/>
      <w:marBottom w:val="0"/>
      <w:divBdr>
        <w:top w:val="none" w:sz="0" w:space="0" w:color="auto"/>
        <w:left w:val="none" w:sz="0" w:space="0" w:color="auto"/>
        <w:bottom w:val="none" w:sz="0" w:space="0" w:color="auto"/>
        <w:right w:val="none" w:sz="0" w:space="0" w:color="auto"/>
      </w:divBdr>
    </w:div>
    <w:div w:id="1144659807">
      <w:bodyDiv w:val="1"/>
      <w:marLeft w:val="0"/>
      <w:marRight w:val="0"/>
      <w:marTop w:val="0"/>
      <w:marBottom w:val="0"/>
      <w:divBdr>
        <w:top w:val="none" w:sz="0" w:space="0" w:color="auto"/>
        <w:left w:val="none" w:sz="0" w:space="0" w:color="auto"/>
        <w:bottom w:val="none" w:sz="0" w:space="0" w:color="auto"/>
        <w:right w:val="none" w:sz="0" w:space="0" w:color="auto"/>
      </w:divBdr>
    </w:div>
    <w:div w:id="1255019891">
      <w:bodyDiv w:val="1"/>
      <w:marLeft w:val="0"/>
      <w:marRight w:val="0"/>
      <w:marTop w:val="0"/>
      <w:marBottom w:val="0"/>
      <w:divBdr>
        <w:top w:val="none" w:sz="0" w:space="0" w:color="auto"/>
        <w:left w:val="none" w:sz="0" w:space="0" w:color="auto"/>
        <w:bottom w:val="none" w:sz="0" w:space="0" w:color="auto"/>
        <w:right w:val="none" w:sz="0" w:space="0" w:color="auto"/>
      </w:divBdr>
    </w:div>
    <w:div w:id="1912504201">
      <w:bodyDiv w:val="1"/>
      <w:marLeft w:val="0"/>
      <w:marRight w:val="0"/>
      <w:marTop w:val="0"/>
      <w:marBottom w:val="0"/>
      <w:divBdr>
        <w:top w:val="none" w:sz="0" w:space="0" w:color="auto"/>
        <w:left w:val="none" w:sz="0" w:space="0" w:color="auto"/>
        <w:bottom w:val="none" w:sz="0" w:space="0" w:color="auto"/>
        <w:right w:val="none" w:sz="0" w:space="0" w:color="auto"/>
      </w:divBdr>
    </w:div>
    <w:div w:id="1970553891">
      <w:bodyDiv w:val="1"/>
      <w:marLeft w:val="0"/>
      <w:marRight w:val="0"/>
      <w:marTop w:val="0"/>
      <w:marBottom w:val="0"/>
      <w:divBdr>
        <w:top w:val="none" w:sz="0" w:space="0" w:color="auto"/>
        <w:left w:val="none" w:sz="0" w:space="0" w:color="auto"/>
        <w:bottom w:val="none" w:sz="0" w:space="0" w:color="auto"/>
        <w:right w:val="none" w:sz="0" w:space="0" w:color="auto"/>
      </w:divBdr>
    </w:div>
    <w:div w:id="2004043576">
      <w:bodyDiv w:val="1"/>
      <w:marLeft w:val="0"/>
      <w:marRight w:val="0"/>
      <w:marTop w:val="0"/>
      <w:marBottom w:val="0"/>
      <w:divBdr>
        <w:top w:val="none" w:sz="0" w:space="0" w:color="auto"/>
        <w:left w:val="none" w:sz="0" w:space="0" w:color="auto"/>
        <w:bottom w:val="none" w:sz="0" w:space="0" w:color="auto"/>
        <w:right w:val="none" w:sz="0" w:space="0" w:color="auto"/>
      </w:divBdr>
    </w:div>
    <w:div w:id="2074036261">
      <w:bodyDiv w:val="1"/>
      <w:marLeft w:val="0"/>
      <w:marRight w:val="0"/>
      <w:marTop w:val="0"/>
      <w:marBottom w:val="0"/>
      <w:divBdr>
        <w:top w:val="none" w:sz="0" w:space="0" w:color="auto"/>
        <w:left w:val="none" w:sz="0" w:space="0" w:color="auto"/>
        <w:bottom w:val="none" w:sz="0" w:space="0" w:color="auto"/>
        <w:right w:val="none" w:sz="0" w:space="0" w:color="auto"/>
      </w:divBdr>
    </w:div>
    <w:div w:id="207921151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C02BD1-FA29-40D5-84B7-F3C384E599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755</Words>
  <Characters>4534</Characters>
  <Application>Microsoft Office Word</Application>
  <DocSecurity>0</DocSecurity>
  <Lines>37</Lines>
  <Paragraphs>10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Pijawska Vel Pakulska Maria  (DLPC)</dc:creator>
  <cp:keywords/>
  <dc:description/>
  <cp:lastModifiedBy>Kopczyńska Katarzyna  (DLPC)</cp:lastModifiedBy>
  <cp:revision>4</cp:revision>
  <cp:lastPrinted>2024-01-24T15:46:00Z</cp:lastPrinted>
  <dcterms:created xsi:type="dcterms:W3CDTF">2024-02-21T12:50:00Z</dcterms:created>
  <dcterms:modified xsi:type="dcterms:W3CDTF">2024-02-22T09:34:00Z</dcterms:modified>
</cp:coreProperties>
</file>